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9A3C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3085204B" w14:textId="43989689" w:rsidR="00504BF9" w:rsidRPr="000C55F0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 w:rsidRPr="000C55F0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Naziv i adresa ustanove</w:t>
      </w:r>
    </w:p>
    <w:p w14:paraId="7E34B7C2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77A7780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047443D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911B0BB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6B59DE0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007646BD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54846227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</w:p>
    <w:p w14:paraId="75B6536C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Program </w:t>
      </w:r>
      <w:r w:rsidRPr="00C82984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obrazovanja</w:t>
      </w:r>
      <w:r w:rsidRPr="00620833"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  <w:t xml:space="preserve"> </w:t>
      </w:r>
    </w:p>
    <w:p w14:paraId="6EAB590F" w14:textId="77777777" w:rsidR="00504BF9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 xml:space="preserve">za stjecanje mikrokvalifikacije </w:t>
      </w:r>
    </w:p>
    <w:p w14:paraId="3E8473FC" w14:textId="77777777" w:rsidR="00504BF9" w:rsidRPr="00362B82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48"/>
          <w:szCs w:val="48"/>
          <w:lang w:val="bs-Latn-BA" w:eastAsia="bs-Latn-BA"/>
        </w:rPr>
      </w:pPr>
      <w:r w:rsidRPr="00362B82">
        <w:rPr>
          <w:rFonts w:ascii="Calibri" w:eastAsia="Calibri" w:hAnsi="Calibri" w:cs="Calibri"/>
          <w:b/>
          <w:bCs/>
          <w:sz w:val="48"/>
          <w:szCs w:val="48"/>
          <w:lang w:val="bs-Latn-BA" w:eastAsia="bs-Latn-BA"/>
        </w:rPr>
        <w:t>internetski marketing i brendiranje</w:t>
      </w:r>
    </w:p>
    <w:p w14:paraId="7A6254CC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95C168A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4CD96C7F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1D1DA22B" w14:textId="77777777" w:rsidR="00E94E49" w:rsidRPr="00022E80" w:rsidRDefault="00E94E49" w:rsidP="00E94E49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4E49" w14:paraId="203AE7AE" w14:textId="77777777" w:rsidTr="00E94E49">
        <w:trPr>
          <w:trHeight w:val="546"/>
        </w:trPr>
        <w:tc>
          <w:tcPr>
            <w:tcW w:w="3020" w:type="dxa"/>
          </w:tcPr>
          <w:p w14:paraId="14E319ED" w14:textId="77777777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3021" w:type="dxa"/>
          </w:tcPr>
          <w:p w14:paraId="67664574" w14:textId="77777777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3021" w:type="dxa"/>
          </w:tcPr>
          <w:p w14:paraId="5983615C" w14:textId="77777777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USTANOVA</w:t>
            </w:r>
          </w:p>
        </w:tc>
      </w:tr>
      <w:tr w:rsidR="00E94E49" w14:paraId="22B3A3EE" w14:textId="77777777" w:rsidTr="001C5E14">
        <w:trPr>
          <w:trHeight w:val="110"/>
        </w:trPr>
        <w:tc>
          <w:tcPr>
            <w:tcW w:w="3020" w:type="dxa"/>
            <w:shd w:val="clear" w:color="auto" w:fill="00B0F0"/>
          </w:tcPr>
          <w:p w14:paraId="4F991AF0" w14:textId="216823E2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D6CF36" w14:textId="05D17599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61D80BA7" w14:textId="77777777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00"/>
          </w:tcPr>
          <w:p w14:paraId="3843F8FC" w14:textId="77777777" w:rsidR="00E94E49" w:rsidRDefault="00E94E49" w:rsidP="006A53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A4A6C5" w14:textId="77777777" w:rsidR="00E94E49" w:rsidRPr="00022E80" w:rsidRDefault="00E94E49" w:rsidP="00E94E49">
      <w:pPr>
        <w:jc w:val="center"/>
        <w:rPr>
          <w:b/>
          <w:bCs/>
          <w:sz w:val="24"/>
          <w:szCs w:val="24"/>
        </w:rPr>
      </w:pPr>
    </w:p>
    <w:p w14:paraId="4C241F19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0C9EF8E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DF7DC85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28D3D487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618CFC68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78BC18EA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</w:p>
    <w:p w14:paraId="6314C1DE" w14:textId="77777777" w:rsidR="00504BF9" w:rsidRPr="00E57A41" w:rsidRDefault="00504BF9" w:rsidP="00504BF9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</w:pP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mjesto</w:t>
      </w:r>
      <w:r w:rsidRPr="00E57A41"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val="bs-Latn-BA" w:eastAsia="bs-Latn-BA"/>
        </w:rPr>
        <w:t>datum</w:t>
      </w:r>
    </w:p>
    <w:p w14:paraId="2E5E3B0A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504BF9" w:rsidRPr="00E57A41" w14:paraId="2CBB2BE7" w14:textId="77777777" w:rsidTr="003E5B1F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95B3D7"/>
            <w:hideMark/>
          </w:tcPr>
          <w:p w14:paraId="700BBCDB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OPĆE INFORMACIJE O PROGRAMU OBRAZOVANJA </w:t>
            </w:r>
          </w:p>
          <w:p w14:paraId="0D590FAE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ZA STJECANJE MIKROKVALIFIKACIJE</w:t>
            </w:r>
          </w:p>
        </w:tc>
      </w:tr>
      <w:tr w:rsidR="00504BF9" w:rsidRPr="00E57A41" w14:paraId="212D8629" w14:textId="77777777" w:rsidTr="002F45BA">
        <w:trPr>
          <w:trHeight w:val="304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661FAC2D" w14:textId="69E0439F" w:rsidR="00504BF9" w:rsidRPr="00E94E4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Sektor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14:paraId="681D36B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Ekonomija i trgovina</w:t>
            </w:r>
          </w:p>
          <w:p w14:paraId="43C96B7D" w14:textId="3A8FF90A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63E1614F" w14:textId="77777777" w:rsidTr="002F45BA">
        <w:trPr>
          <w:trHeight w:val="314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6A808E03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Naziv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D4EEFE" w14:textId="6EE9626D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5D373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Program </w:t>
            </w:r>
            <w:r w:rsidR="00320525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obrazovanja </w:t>
            </w:r>
            <w:r w:rsidRPr="005D3733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za stjecanje mikrokvalifikacije internetski marketing i brendiranje</w:t>
            </w:r>
          </w:p>
        </w:tc>
      </w:tr>
      <w:tr w:rsidR="00504BF9" w:rsidRPr="00E57A41" w14:paraId="2556C76A" w14:textId="77777777" w:rsidTr="002F45BA">
        <w:trPr>
          <w:trHeight w:val="304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585F0823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Vrsta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C80AE5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sposobljavanje</w:t>
            </w:r>
          </w:p>
        </w:tc>
      </w:tr>
      <w:tr w:rsidR="00504BF9" w:rsidRPr="00E57A41" w14:paraId="7C90D18D" w14:textId="77777777" w:rsidTr="002F45BA">
        <w:trPr>
          <w:trHeight w:val="513"/>
        </w:trPr>
        <w:tc>
          <w:tcPr>
            <w:tcW w:w="138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0D2CE74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Predlagatelj</w:t>
            </w:r>
          </w:p>
        </w:tc>
        <w:tc>
          <w:tcPr>
            <w:tcW w:w="81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0EB16A5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Naziv ustanove</w:t>
            </w:r>
          </w:p>
        </w:tc>
        <w:tc>
          <w:tcPr>
            <w:tcW w:w="279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49FD8C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31778D83" w14:textId="77777777" w:rsidTr="002F45BA">
        <w:trPr>
          <w:trHeight w:val="323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  <w:hideMark/>
          </w:tcPr>
          <w:p w14:paraId="5AC40B6D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1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2DF74285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Adresa</w:t>
            </w:r>
          </w:p>
        </w:tc>
        <w:tc>
          <w:tcPr>
            <w:tcW w:w="279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1BFADB4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trike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1778C23D" w14:textId="77777777" w:rsidTr="002F45BA">
        <w:trPr>
          <w:trHeight w:val="827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527C9A2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  <w:hideMark/>
          </w:tcPr>
          <w:p w14:paraId="1131D60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1: Internetska marketinška komunikacija (razina 4)</w:t>
            </w:r>
          </w:p>
          <w:p w14:paraId="3FECB5E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SIU 2: Brendiranje u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 (razina 4)</w:t>
            </w:r>
          </w:p>
          <w:p w14:paraId="770BB702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3: Internetska marketinška kampanja (razina 4)</w:t>
            </w:r>
          </w:p>
        </w:tc>
      </w:tr>
      <w:tr w:rsidR="00504BF9" w:rsidRPr="00E57A41" w14:paraId="616541FA" w14:textId="77777777" w:rsidTr="002F45BA">
        <w:trPr>
          <w:trHeight w:val="732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0EC0510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bs-Latn-BA" w:eastAsia="bs-Latn-BA"/>
              </w:rPr>
              <w:t>Obujam u bodovima</w:t>
            </w:r>
            <w:r w:rsidRPr="00075C08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val="bs-Latn-BA" w:eastAsia="bs-Latn-BA"/>
              </w:rPr>
              <w:t xml:space="preserve"> </w:t>
            </w:r>
            <w:r w:rsidRPr="00075C08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(CSVET)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2F1ACED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9 CSVET</w:t>
            </w:r>
          </w:p>
          <w:p w14:paraId="0C83ADB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1: Internetska marketinška komunikacija (3 CSVET)</w:t>
            </w:r>
          </w:p>
          <w:p w14:paraId="32ACAA2A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SIU 2: Brendiranje u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 (3 CSVET)</w:t>
            </w:r>
          </w:p>
          <w:p w14:paraId="2508E5D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SIU 3: Internetska marketinška kampanja (3 CSVET)</w:t>
            </w:r>
          </w:p>
        </w:tc>
      </w:tr>
      <w:tr w:rsidR="00504BF9" w:rsidRPr="00E57A41" w14:paraId="2ECE36E4" w14:textId="77777777" w:rsidTr="002F45BA">
        <w:trPr>
          <w:trHeight w:val="304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95B3D7"/>
            <w:hideMark/>
          </w:tcPr>
          <w:p w14:paraId="04A0FB1D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504BF9" w:rsidRPr="00E57A41" w14:paraId="76B06AED" w14:textId="77777777" w:rsidTr="00E61480">
        <w:trPr>
          <w:trHeight w:val="951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  <w:hideMark/>
          </w:tcPr>
          <w:p w14:paraId="381C9AE0" w14:textId="1AABECAC" w:rsidR="00504BF9" w:rsidRPr="00E57A41" w:rsidRDefault="00E94E4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 </w:t>
            </w:r>
          </w:p>
        </w:tc>
        <w:tc>
          <w:tcPr>
            <w:tcW w:w="212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3C6E593E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Popis standarda kvalifikacija i datum/i njegove/njihove valjanosti u Registaru HKO-a</w:t>
            </w:r>
          </w:p>
          <w:p w14:paraId="70627F81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0DC26BDB" w14:textId="77777777" w:rsidR="00504BF9" w:rsidRPr="00E57A41" w:rsidRDefault="00504BF9" w:rsidP="00D20FFB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Sektorski kurikulum</w:t>
            </w:r>
          </w:p>
        </w:tc>
      </w:tr>
      <w:tr w:rsidR="00504BF9" w:rsidRPr="00E57A41" w14:paraId="5E54711F" w14:textId="77777777" w:rsidTr="00EE5A83">
        <w:trPr>
          <w:trHeight w:val="561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2F30B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SZ Asistent u marketingu/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sistentica u marketingu</w:t>
            </w:r>
          </w:p>
          <w:p w14:paraId="3132CB0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04A3CA2D" w14:textId="2231662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SKOMP 1: </w:t>
            </w:r>
            <w:r w:rsidRPr="00490AE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oglašavanje proizvoda i usluga</w:t>
            </w:r>
          </w:p>
          <w:p w14:paraId="5C28AFD2" w14:textId="27ED17E5" w:rsidR="00FB578E" w:rsidRPr="00E57A41" w:rsidRDefault="00D14ED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7" w:history="1">
              <w:r w:rsidR="00BE4E54" w:rsidRPr="007A3389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https://hko.srce.hr/registar/skup-kompetencija/detalji/170</w:t>
              </w:r>
            </w:hyperlink>
            <w:r w:rsidR="00BE4E5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A8FD2C7" w14:textId="45ECEE20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SKOMP 2: Poznavanje i pregovaranje s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konkurencijom na tržištu</w:t>
            </w:r>
          </w:p>
          <w:p w14:paraId="2D781B51" w14:textId="27ED2D0B" w:rsidR="00BE4E54" w:rsidRPr="00075C08" w:rsidRDefault="00D14ED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8" w:history="1">
              <w:r w:rsidR="00932CEB" w:rsidRPr="007A3389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https://hko.srce.hr/registar/skup-kompetencija/detalji/171</w:t>
              </w:r>
            </w:hyperlink>
            <w:r w:rsidR="00932CE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A95D923" w14:textId="502E6B86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lastRenderedPageBreak/>
              <w:t>SKOMP 3: Korištenje pravila poslovne komunikacije u poslovanju</w:t>
            </w:r>
          </w:p>
          <w:p w14:paraId="1FDFD6D0" w14:textId="4B600B1F" w:rsidR="00B279B4" w:rsidRDefault="00D14ED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hyperlink r:id="rId9" w:history="1">
              <w:r w:rsidR="00B279B4" w:rsidRPr="007A3389">
                <w:rPr>
                  <w:rStyle w:val="Hiperveza"/>
                  <w:rFonts w:ascii="Calibri" w:eastAsia="Calibri" w:hAnsi="Calibri" w:cs="Calibri"/>
                  <w:sz w:val="20"/>
                  <w:szCs w:val="20"/>
                  <w:lang w:val="bs-Latn-BA" w:eastAsia="bs-Latn-BA"/>
                </w:rPr>
                <w:t>https://hko.srce.hr/registar/skup-kompetencija/detalji/172</w:t>
              </w:r>
            </w:hyperlink>
            <w:r w:rsidR="00B279B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</w:t>
            </w:r>
          </w:p>
          <w:p w14:paraId="01B7DA14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0535D3E3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1.10.2023.</w:t>
            </w:r>
          </w:p>
        </w:tc>
        <w:tc>
          <w:tcPr>
            <w:tcW w:w="2120" w:type="pct"/>
            <w:gridSpan w:val="2"/>
            <w:tcBorders>
              <w:bottom w:val="single" w:sz="6" w:space="0" w:color="auto"/>
            </w:tcBorders>
          </w:tcPr>
          <w:p w14:paraId="7D0E5BCB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lastRenderedPageBreak/>
              <w:t>SK Referent za poslovnu ekonomiju /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eferentica za poslovnu ekonomiju</w:t>
            </w:r>
          </w:p>
          <w:p w14:paraId="2AE471A6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18E8C20D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46930E9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286195C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2D87B989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AE591D0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417B89E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7D12805A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9D2FFAB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EA73071" w14:textId="77777777" w:rsidR="00504BF9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4BCACE1B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5F4E0FD9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5EE98E86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3FB88772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60821DDD" w14:textId="77777777" w:rsidR="00320525" w:rsidRDefault="00320525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  <w:p w14:paraId="2EFA396A" w14:textId="2530E9B2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6.12.2026.</w:t>
            </w:r>
          </w:p>
        </w:tc>
        <w:tc>
          <w:tcPr>
            <w:tcW w:w="1496" w:type="pct"/>
            <w:tcBorders>
              <w:bottom w:val="single" w:sz="6" w:space="0" w:color="auto"/>
            </w:tcBorders>
            <w:vAlign w:val="center"/>
          </w:tcPr>
          <w:p w14:paraId="5079739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268DE46E" w14:textId="77777777" w:rsidTr="00EE5A83">
        <w:trPr>
          <w:trHeight w:val="291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6884A978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Uvjeti za upis u program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466606C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Cjelovita kvalifikacija na razini 4.2</w:t>
            </w:r>
          </w:p>
        </w:tc>
      </w:tr>
      <w:tr w:rsidR="00504BF9" w:rsidRPr="00075C08" w14:paraId="0573854F" w14:textId="77777777" w:rsidTr="00EE5A83">
        <w:trPr>
          <w:trHeight w:val="732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2C811798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Uvjeti stjecanj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F72EE91" w14:textId="77777777" w:rsidR="00504BF9" w:rsidRPr="00075C08" w:rsidRDefault="00504BF9" w:rsidP="00D20FF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Stečenih 9 CSVET bodova</w:t>
            </w:r>
          </w:p>
          <w:p w14:paraId="27373467" w14:textId="77777777" w:rsidR="00504BF9" w:rsidRPr="00075C08" w:rsidRDefault="00504BF9" w:rsidP="00D20FFB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0BE2137C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 završnoj provjeri vodi se zapisnik i provodi ju tročlano povjerenstvo.</w:t>
            </w:r>
          </w:p>
          <w:p w14:paraId="7B123B22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Svakom polazniku nakon uspješno završene završne provjere izdaje se Uvjerenje o osposobljavanju za stjecanje mikrokvalifikacije internetski marketing i brendiranje.</w:t>
            </w:r>
          </w:p>
        </w:tc>
      </w:tr>
      <w:tr w:rsidR="00504BF9" w:rsidRPr="00E57A41" w14:paraId="7C05BBA3" w14:textId="77777777" w:rsidTr="00EE5A83">
        <w:trPr>
          <w:trHeight w:val="732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3BCDE837" w14:textId="77777777" w:rsidR="00504BF9" w:rsidRPr="00075C08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433BE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Trajanje i načini izvođenja nastave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5524884" w14:textId="77777777" w:rsidR="00504BF9" w:rsidRPr="00075C08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Program obrazovanja za stjecanje mikrokvalifikacije internetski marketing i brendiranje provodi se redovitom nastavom u trajanju od 225 sati, uz mogućnost izvođenja programa na daljinu u realnom vremenu.</w:t>
            </w:r>
          </w:p>
          <w:p w14:paraId="20B4D52F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Ishodi učenja ostvaruju se dijelom vođenim procesom učenja i poučavanja u trajanju od 77 sati, dijelom učenje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temeljeno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na radu u trajanju od 84 sata, a dijelom samostaln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im 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aktivnost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ima</w:t>
            </w: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polaznika u trajanju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od  64 sata.</w:t>
            </w:r>
          </w:p>
          <w:p w14:paraId="54632EC2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Učenje temeljeno na radu obuhvaća rješavanje problemskih situacija i izvršenje </w:t>
            </w:r>
            <w:r w:rsidRPr="00A0601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konkretnih radnih zadaća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u simuliranim uvjetima. </w:t>
            </w:r>
          </w:p>
        </w:tc>
      </w:tr>
      <w:tr w:rsidR="00504BF9" w:rsidRPr="00E57A41" w14:paraId="189D93B9" w14:textId="77777777" w:rsidTr="00EE5A83">
        <w:trPr>
          <w:trHeight w:val="732"/>
        </w:trPr>
        <w:tc>
          <w:tcPr>
            <w:tcW w:w="1384" w:type="pct"/>
            <w:tcBorders>
              <w:top w:val="single" w:sz="6" w:space="0" w:color="auto"/>
            </w:tcBorders>
            <w:shd w:val="clear" w:color="auto" w:fill="B8CCE4"/>
          </w:tcPr>
          <w:p w14:paraId="02FC6364" w14:textId="77777777" w:rsidR="00504BF9" w:rsidRPr="006A3A24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Horizontalna prohodnost 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</w:tcBorders>
          </w:tcPr>
          <w:p w14:paraId="277D9A84" w14:textId="77777777" w:rsidR="00504BF9" w:rsidRPr="00075C08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</w:t>
            </w:r>
            <w:r w:rsidRPr="00AF60E5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s obzirom na prethodno završene obrazovne cikluse te prethodno stečene kompetencije/kvalifikacije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)</w:t>
            </w:r>
          </w:p>
        </w:tc>
      </w:tr>
      <w:tr w:rsidR="00504BF9" w:rsidRPr="00E57A41" w14:paraId="7C2D62DE" w14:textId="77777777" w:rsidTr="007C1ABB">
        <w:trPr>
          <w:trHeight w:val="732"/>
        </w:trPr>
        <w:tc>
          <w:tcPr>
            <w:tcW w:w="1384" w:type="pct"/>
            <w:tcBorders>
              <w:bottom w:val="single" w:sz="6" w:space="0" w:color="auto"/>
            </w:tcBorders>
            <w:shd w:val="clear" w:color="auto" w:fill="B8CCE4"/>
          </w:tcPr>
          <w:p w14:paraId="7038DB8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Vertikalna prohodnost</w:t>
            </w:r>
          </w:p>
        </w:tc>
        <w:tc>
          <w:tcPr>
            <w:tcW w:w="3616" w:type="pct"/>
            <w:gridSpan w:val="3"/>
            <w:tcBorders>
              <w:bottom w:val="single" w:sz="6" w:space="0" w:color="auto"/>
            </w:tcBorders>
          </w:tcPr>
          <w:p w14:paraId="504B84AB" w14:textId="77777777" w:rsidR="00504BF9" w:rsidRPr="00E57A41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AF60E5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(s obzirom na prethodno završeno obrazovanje te prethodno stečene kompetencije/kvalifikacija)</w:t>
            </w:r>
          </w:p>
        </w:tc>
      </w:tr>
      <w:tr w:rsidR="00504BF9" w:rsidRPr="00E57A41" w14:paraId="02A1F337" w14:textId="77777777" w:rsidTr="00E61480">
        <w:trPr>
          <w:trHeight w:val="1093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hideMark/>
          </w:tcPr>
          <w:p w14:paraId="7436DB2D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14:paraId="7783495A" w14:textId="77777777" w:rsidR="00504BF9" w:rsidRPr="00075C08" w:rsidRDefault="00504BF9" w:rsidP="00D20FFB">
            <w:pPr>
              <w:spacing w:before="120"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Materijalni uvjeti: projektor, računalo za nastavnika s pristupom Internetu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 osigurano računalo za svakog polaznika s internetskom vezom i potrebnom programskom podrškom.</w:t>
            </w:r>
          </w:p>
        </w:tc>
      </w:tr>
      <w:tr w:rsidR="00504BF9" w:rsidRPr="00E57A41" w14:paraId="7D22A5C2" w14:textId="77777777" w:rsidTr="00E61480">
        <w:trPr>
          <w:trHeight w:val="3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  <w:hideMark/>
          </w:tcPr>
          <w:p w14:paraId="19FC3FA7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Kompetencije koje se programom stječu </w:t>
            </w:r>
          </w:p>
        </w:tc>
      </w:tr>
      <w:tr w:rsidR="00504BF9" w:rsidRPr="00E57A41" w14:paraId="689F0FAB" w14:textId="77777777" w:rsidTr="00E61480">
        <w:trPr>
          <w:trHeight w:val="3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14:paraId="353E0E3F" w14:textId="77777777" w:rsidR="00504BF9" w:rsidRPr="00421724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421724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razlikovati specifičnosti kanala digitalnog marketinga</w:t>
            </w:r>
          </w:p>
          <w:p w14:paraId="28B549A6" w14:textId="77777777" w:rsidR="00504BF9" w:rsidRPr="00075C08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odrediti pravilnu društvenu mrežu ovisno o proizvodu i/ili usluzi</w:t>
            </w:r>
          </w:p>
          <w:p w14:paraId="4DD73913" w14:textId="77777777" w:rsidR="00504BF9" w:rsidRPr="00075C08" w:rsidRDefault="00504BF9" w:rsidP="00D20FFB">
            <w:pPr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pripremiti ključnu informaciju u obliku sažete vijesti koju treba objaviti i/ili dijeliti</w:t>
            </w:r>
          </w:p>
          <w:p w14:paraId="54B56A96" w14:textId="77777777" w:rsidR="00504BF9" w:rsidRPr="00075C08" w:rsidRDefault="00504BF9" w:rsidP="00D20FF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izraditi oglas u skladu s različitim kanalima digitalnog marketinga</w:t>
            </w:r>
          </w:p>
          <w:p w14:paraId="4EC6F0C8" w14:textId="77777777" w:rsidR="00504BF9" w:rsidRPr="00075C08" w:rsidRDefault="00504BF9" w:rsidP="00D20FF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pratiti učinak oglašavanja</w:t>
            </w:r>
          </w:p>
          <w:p w14:paraId="410FFEE6" w14:textId="77777777" w:rsidR="00504BF9" w:rsidRPr="00075C08" w:rsidRDefault="00504BF9" w:rsidP="00D20FF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stvoriti uvid u poziciju konkurentskih proizvoda/usluga u odnosu na vlastite proizvode/usluge</w:t>
            </w:r>
          </w:p>
          <w:p w14:paraId="1DB29A05" w14:textId="77777777" w:rsidR="00504BF9" w:rsidRPr="00075C08" w:rsidRDefault="00504BF9" w:rsidP="00D20FFB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pisano i usmeno komunicirati slijedeći poslovne standarde u pisanoj i usmenoj komunikaciji</w:t>
            </w:r>
          </w:p>
          <w:p w14:paraId="67CB6AD6" w14:textId="77777777" w:rsidR="00504BF9" w:rsidRPr="00075C08" w:rsidRDefault="00504BF9" w:rsidP="00D20FFB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voditi pregovore u skladu s poslovnim bontonom i pravilima poslovne komunikacije</w:t>
            </w:r>
          </w:p>
          <w:p w14:paraId="01CE765A" w14:textId="77777777" w:rsidR="00504BF9" w:rsidRPr="00A676D0" w:rsidRDefault="00504BF9" w:rsidP="00D20FFB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075C08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lastRenderedPageBreak/>
              <w:t>samostalno koristiti suvremene informatičke alate za obradu tablica, teksta i prezentacija</w:t>
            </w:r>
          </w:p>
        </w:tc>
      </w:tr>
      <w:tr w:rsidR="00504BF9" w:rsidRPr="00E57A41" w14:paraId="44BB65DC" w14:textId="77777777" w:rsidTr="003A5056">
        <w:trPr>
          <w:trHeight w:val="552"/>
        </w:trPr>
        <w:tc>
          <w:tcPr>
            <w:tcW w:w="1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hideMark/>
          </w:tcPr>
          <w:p w14:paraId="3928FD13" w14:textId="77777777" w:rsidR="00504BF9" w:rsidRPr="00E57A41" w:rsidRDefault="00504BF9" w:rsidP="00D20FFB">
            <w:pPr>
              <w:spacing w:before="60" w:after="20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ačini praćenja kvalitete i uspješnosti izvedbe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7481863C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28079ED0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7646482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istraživanje i anketiranje nastavnika o istim pitanjima navedenim u prethodnoj stavci</w:t>
            </w:r>
          </w:p>
          <w:p w14:paraId="7170ABFC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analiza uspjeha, transparentnosti i objektivnosti provjera i ostvarenosti ishoda učenja</w:t>
            </w:r>
          </w:p>
          <w:p w14:paraId="0A82DDCF" w14:textId="77777777" w:rsidR="00504BF9" w:rsidRPr="00E57A41" w:rsidRDefault="00504BF9" w:rsidP="00D20FFB">
            <w:pPr>
              <w:numPr>
                <w:ilvl w:val="0"/>
                <w:numId w:val="1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color w:val="000000"/>
                <w:sz w:val="20"/>
                <w:szCs w:val="20"/>
                <w:lang w:val="bs-Latn-BA" w:eastAsia="hr-HR"/>
              </w:rPr>
              <w:t>provodi se analiza materijalnih i kadrovskih uvjeta potrebnih za izvođenje procesa učenja i poučavanja.</w:t>
            </w:r>
          </w:p>
          <w:p w14:paraId="5983FA08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Temeljem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rezultat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anketa dobiva se pregled uspješnosti izvedbe programa, kao i  procjena kvalitete nastavničkog rada.</w:t>
            </w:r>
          </w:p>
          <w:p w14:paraId="371BE8B6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Times New Roman" w:hAnsi="Calibri" w:cs="Calibri"/>
                <w:color w:val="44546A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504BF9" w:rsidRPr="00E57A41" w14:paraId="65A3E5B5" w14:textId="77777777" w:rsidTr="003A5056">
        <w:trPr>
          <w:trHeight w:val="386"/>
        </w:trPr>
        <w:tc>
          <w:tcPr>
            <w:tcW w:w="1384" w:type="pct"/>
            <w:tcBorders>
              <w:top w:val="single" w:sz="6" w:space="0" w:color="auto"/>
              <w:bottom w:val="single" w:sz="18" w:space="0" w:color="auto"/>
            </w:tcBorders>
            <w:shd w:val="clear" w:color="auto" w:fill="92D050"/>
            <w:hideMark/>
          </w:tcPr>
          <w:p w14:paraId="643F774C" w14:textId="77777777" w:rsidR="00504BF9" w:rsidRPr="00E57A41" w:rsidRDefault="00504BF9" w:rsidP="00D20FFB">
            <w:pPr>
              <w:spacing w:before="60" w:after="6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Datum revizije programa</w:t>
            </w:r>
          </w:p>
        </w:tc>
        <w:tc>
          <w:tcPr>
            <w:tcW w:w="3616" w:type="pct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92D050"/>
          </w:tcPr>
          <w:p w14:paraId="71D0784C" w14:textId="77777777" w:rsidR="00504BF9" w:rsidRPr="00E57A41" w:rsidRDefault="00504BF9" w:rsidP="00D20FFB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 202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7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</w:tbl>
    <w:p w14:paraId="5BB03262" w14:textId="77777777" w:rsidR="00504BF9" w:rsidRPr="00E57A41" w:rsidRDefault="00504BF9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1189CD72" w14:textId="1BA270EF" w:rsidR="00504BF9" w:rsidRDefault="00504BF9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41D346CF" w14:textId="61503FB3" w:rsidR="00B279B4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5EA8A153" w14:textId="0641CB31" w:rsidR="00B279B4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251CC8B4" w14:textId="77777777" w:rsidR="00B279B4" w:rsidRPr="00E57A41" w:rsidRDefault="00B279B4" w:rsidP="00504BF9">
      <w:pPr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</w:p>
    <w:p w14:paraId="6E9B3AD8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t xml:space="preserve">MODULI I SKUPOVI ISHODA UČENJA </w:t>
      </w:r>
    </w:p>
    <w:tbl>
      <w:tblPr>
        <w:tblStyle w:val="Reetkatablice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504BF9" w:rsidRPr="00E57A41" w14:paraId="08DC9692" w14:textId="77777777" w:rsidTr="00D20FF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42D65A8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6CA1BB2A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39631F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0408C14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EEC939E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34E7FCC6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2D912BE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1CB0E28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48F0522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468B8F15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  <w:hideMark/>
          </w:tcPr>
          <w:p w14:paraId="72FD0353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  <w:p w14:paraId="6F757A2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Broj sati</w:t>
            </w:r>
          </w:p>
        </w:tc>
      </w:tr>
      <w:tr w:rsidR="00504BF9" w:rsidRPr="00E57A41" w14:paraId="4E0EB225" w14:textId="77777777" w:rsidTr="00645B42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1891584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530B1E73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6C9C1623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3B0A404A" w14:textId="77777777" w:rsidR="00504BF9" w:rsidRPr="00E57A41" w:rsidRDefault="00504BF9" w:rsidP="00D20FFB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</w:tcPr>
          <w:p w14:paraId="13512F3A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2C8D7D78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B131D50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3758732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CC2E5"/>
          </w:tcPr>
          <w:p w14:paraId="5746B15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bs-Latn-BA" w:eastAsia="bs-Latn-BA"/>
              </w:rPr>
              <w:t>UKUPNO</w:t>
            </w:r>
          </w:p>
        </w:tc>
      </w:tr>
      <w:tr w:rsidR="00504BF9" w:rsidRPr="00E57A41" w14:paraId="7B8AC204" w14:textId="77777777" w:rsidTr="00320465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24D5173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</w:p>
          <w:p w14:paraId="1DE8C11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5458CD2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F50F1C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837FD80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Internetska marketinška komunikacija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704ED97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31BAEB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80B96A7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F9F402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6D4746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A54353A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2C1D4219" w14:textId="77777777" w:rsidTr="00320465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5420C64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1E21266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Internetska marketinška kampanja u svrhu promocije i brendiranja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8E8A420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Brendiranje u </w:t>
            </w:r>
            <w:r w:rsidRPr="00F50F1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FED4DFF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DD5F88B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4ACBC3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1BD945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F1ED28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C23FFE9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20964C7B" w14:textId="77777777" w:rsidTr="00320465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97D7240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94F1CA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90CCBFD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Internetska marketinška kampanja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AFAA18B" w14:textId="77777777" w:rsidR="00504BF9" w:rsidRPr="00E57A41" w:rsidRDefault="00504BF9" w:rsidP="00D20FFB">
            <w:pP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C143C44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58F6B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FC8CAF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AE121C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9F96B4D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75</w:t>
            </w:r>
          </w:p>
        </w:tc>
      </w:tr>
      <w:tr w:rsidR="00504BF9" w:rsidRPr="00E57A41" w14:paraId="6FC7FB8C" w14:textId="77777777" w:rsidTr="00645B42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100C68D" w14:textId="77777777" w:rsidR="00504BF9" w:rsidRPr="00E57A4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lastRenderedPageBreak/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5CDEE15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83373D1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8EF111C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6704680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4D627B" w14:textId="77777777" w:rsidR="00504BF9" w:rsidRPr="00E57A41" w:rsidRDefault="00504BF9" w:rsidP="00D20FFB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225</w:t>
            </w:r>
          </w:p>
        </w:tc>
      </w:tr>
    </w:tbl>
    <w:p w14:paraId="660A153B" w14:textId="77777777" w:rsidR="00504BF9" w:rsidRPr="00E57A41" w:rsidRDefault="00504BF9" w:rsidP="00504BF9">
      <w:pPr>
        <w:spacing w:after="0" w:line="240" w:lineRule="auto"/>
        <w:jc w:val="both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VPUP – vođeni proces učenja i poučavanja     </w:t>
      </w:r>
    </w:p>
    <w:p w14:paraId="2BDD5D83" w14:textId="77777777" w:rsidR="00504BF9" w:rsidRPr="00E57A41" w:rsidRDefault="00504BF9" w:rsidP="00504BF9">
      <w:pPr>
        <w:spacing w:after="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 xml:space="preserve">UTR – učenje temeljeno na radu </w:t>
      </w:r>
    </w:p>
    <w:p w14:paraId="665945B3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SAP– samostalne aktivnosti</w:t>
      </w:r>
      <w:r w:rsidRPr="00E57A41">
        <w:rPr>
          <w:rFonts w:ascii="Calibri" w:eastAsia="Calibri" w:hAnsi="Calibri" w:cs="Calibri"/>
          <w:i/>
          <w:iCs/>
          <w:color w:val="FF0000"/>
          <w:sz w:val="16"/>
          <w:szCs w:val="16"/>
          <w:lang w:val="bs-Latn-BA" w:eastAsia="bs-Latn-BA"/>
        </w:rPr>
        <w:t xml:space="preserve"> </w:t>
      </w:r>
      <w:r w:rsidRPr="00E57A41"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  <w:t>polaznika</w:t>
      </w:r>
    </w:p>
    <w:p w14:paraId="09D3DF70" w14:textId="5B4A8779" w:rsidR="00504BF9" w:rsidRDefault="00504BF9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553C1794" w14:textId="7D6174CF" w:rsidR="00B279B4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1ECB268E" w14:textId="7292EB14" w:rsidR="00B279B4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59228057" w14:textId="77777777" w:rsidR="00B279B4" w:rsidRPr="00E57A41" w:rsidRDefault="00B279B4" w:rsidP="00504BF9">
      <w:pPr>
        <w:spacing w:after="200" w:line="276" w:lineRule="auto"/>
        <w:rPr>
          <w:rFonts w:ascii="Calibri" w:eastAsia="Calibri" w:hAnsi="Calibri" w:cs="Calibri"/>
          <w:i/>
          <w:iCs/>
          <w:color w:val="000000"/>
          <w:sz w:val="16"/>
          <w:szCs w:val="16"/>
          <w:lang w:val="bs-Latn-BA" w:eastAsia="bs-Latn-BA"/>
        </w:rPr>
      </w:pPr>
    </w:p>
    <w:p w14:paraId="202F8562" w14:textId="77777777" w:rsidR="00504BF9" w:rsidRPr="00E57A41" w:rsidRDefault="00504BF9" w:rsidP="00504BF9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</w:pPr>
      <w:r w:rsidRPr="00E57A41">
        <w:rPr>
          <w:rFonts w:ascii="Calibri" w:eastAsia="Calibri" w:hAnsi="Calibri" w:cs="Calibri"/>
          <w:b/>
          <w:bCs/>
          <w:sz w:val="24"/>
          <w:szCs w:val="24"/>
          <w:lang w:val="bs-Latn-BA" w:eastAsia="bs-Latn-BA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E57A41" w14:paraId="6BCF883F" w14:textId="77777777" w:rsidTr="00BD048B">
        <w:trPr>
          <w:trHeight w:val="558"/>
        </w:trPr>
        <w:tc>
          <w:tcPr>
            <w:tcW w:w="25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A1CD532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F2BBBC7" w14:textId="77777777" w:rsidR="00504BF9" w:rsidRPr="00E57A41" w:rsidRDefault="00504BF9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433BE1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</w:tr>
      <w:tr w:rsidR="00504BF9" w:rsidRPr="00E57A41" w14:paraId="585A9FE8" w14:textId="77777777" w:rsidTr="00BD048B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3AAD99E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6B3846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76A35661" w14:textId="77777777" w:rsidTr="00BD048B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27B57640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7864F76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Najmanje razina 7.1 HKO-a (300 ECTS) odgovarajućeg profila. Specifična znanja povezana sa SIU mogu biti stečena formalnim obrazovanjem, neformalnim i informalnim učenjem.</w:t>
            </w:r>
          </w:p>
        </w:tc>
      </w:tr>
      <w:tr w:rsidR="00504BF9" w:rsidRPr="00E57A41" w14:paraId="649AA028" w14:textId="77777777" w:rsidTr="00BD048B">
        <w:trPr>
          <w:trHeight w:val="55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7335B27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E0C3002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3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504BF9" w:rsidRPr="00E57A41" w14:paraId="685C20A2" w14:textId="77777777" w:rsidTr="008F2DE1">
        <w:tc>
          <w:tcPr>
            <w:tcW w:w="2537" w:type="dxa"/>
            <w:vMerge w:val="restart"/>
            <w:tcBorders>
              <w:top w:val="single" w:sz="4" w:space="0" w:color="auto"/>
            </w:tcBorders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AFEF9DF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Načini stjecanja ishoda učenja (od 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do, postotak)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42C4A399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Vođeni proces učenja i poučavanja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vAlign w:val="center"/>
          </w:tcPr>
          <w:p w14:paraId="0CC4F848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vAlign w:val="center"/>
          </w:tcPr>
          <w:p w14:paraId="7B759182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Samostalne aktivnosti polaznika</w:t>
            </w:r>
          </w:p>
        </w:tc>
      </w:tr>
      <w:tr w:rsidR="00504BF9" w:rsidRPr="00E57A41" w14:paraId="2E37D3F1" w14:textId="77777777" w:rsidTr="008F2DE1">
        <w:trPr>
          <w:trHeight w:val="540"/>
        </w:trPr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5CE32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3835C7B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22 (29%)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7FCA8D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30 (40%)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E8A6454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23 (31%)</w:t>
            </w:r>
          </w:p>
        </w:tc>
      </w:tr>
      <w:tr w:rsidR="00504BF9" w:rsidRPr="00E57A41" w14:paraId="6F6B36BD" w14:textId="77777777" w:rsidTr="00F979A5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2ECA8DD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Status modula</w:t>
            </w:r>
          </w:p>
          <w:p w14:paraId="2BAFF095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17AD538E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color w:val="000000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504BF9" w:rsidRPr="00E57A41" w14:paraId="175D9DB2" w14:textId="77777777" w:rsidTr="00F979A5">
        <w:trPr>
          <w:trHeight w:val="626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F1FEDC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06F2456A" w14:textId="77777777" w:rsidR="00504BF9" w:rsidRPr="00C82AA2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C82AA2">
              <w:rPr>
                <w:rFonts w:cstheme="minorHAnsi"/>
                <w:noProof/>
                <w:sz w:val="20"/>
                <w:szCs w:val="20"/>
              </w:rPr>
              <w:t xml:space="preserve">Cilj modula </w:t>
            </w:r>
            <w:r w:rsidRPr="00AB2622">
              <w:rPr>
                <w:rFonts w:cstheme="minorHAnsi"/>
                <w:noProof/>
                <w:sz w:val="20"/>
                <w:szCs w:val="20"/>
              </w:rPr>
              <w:t xml:space="preserve">je polaznicima omogućiti 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>stjecanje znanja i vještina potrebnih za osmišljavanje marketinške komunikacije u cilju povećanja vidljivosti poslovanja i povezivanja s korisnicima kroz digitalne kanale. Uz navedeno, polaznici će moći procijeniti važnost sadržajnog (</w:t>
            </w:r>
            <w:r w:rsidRPr="00C82AA2">
              <w:rPr>
                <w:rFonts w:cstheme="minorHAnsi"/>
                <w:i/>
                <w:noProof/>
                <w:sz w:val="20"/>
                <w:szCs w:val="20"/>
              </w:rPr>
              <w:t>content)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 xml:space="preserve"> marketinga u cilju usmjeravanja ciljnoj publici te </w:t>
            </w:r>
            <w:r w:rsidRPr="00C82AA2">
              <w:rPr>
                <w:rFonts w:cstheme="minorHAnsi"/>
                <w:i/>
                <w:iCs/>
                <w:noProof/>
                <w:sz w:val="20"/>
                <w:szCs w:val="20"/>
              </w:rPr>
              <w:t>influencer</w:t>
            </w:r>
            <w:r w:rsidRPr="00C82AA2">
              <w:rPr>
                <w:rFonts w:cstheme="minorHAnsi"/>
                <w:noProof/>
                <w:sz w:val="20"/>
                <w:szCs w:val="20"/>
              </w:rPr>
              <w:t xml:space="preserve"> marketinga kao jednog od oblika oglašavanja u marketinškoj komunikaciji.</w:t>
            </w:r>
          </w:p>
        </w:tc>
      </w:tr>
      <w:tr w:rsidR="00504BF9" w:rsidRPr="00E57A41" w14:paraId="4E338574" w14:textId="77777777" w:rsidTr="00F979A5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D777340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6A8D6A4A" w14:textId="77777777" w:rsidR="00504BF9" w:rsidRPr="007B30B8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</w:pP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internetska marketinška komunikacija, internetski marketinški kanali,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sadržajni content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-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marketing, influencer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-</w:t>
            </w:r>
            <w:r w:rsidRPr="007D23F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marketing, društveni mediji</w:t>
            </w:r>
            <w:r w:rsidRPr="00E57A41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504BF9" w:rsidRPr="00E57A41" w14:paraId="01D053E9" w14:textId="77777777" w:rsidTr="00240912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2993948D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1DB69DCC" w14:textId="77777777" w:rsidR="00504BF9" w:rsidRPr="007B30B8" w:rsidRDefault="00504BF9" w:rsidP="00D2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</w:pP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Učenje temeljeno na radu integrirano je u program obrazovanja uz uporabu simulacija i stvarnih projektnih zadataka u poslovnome sektoru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.</w:t>
            </w: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Polaznik</w:t>
            </w:r>
            <w:r w:rsidRPr="00E43B53">
              <w:rPr>
                <w:rFonts w:ascii="Calibri" w:eastAsia="Calibri" w:hAnsi="Calibri" w:cs="Calibri"/>
                <w:strike/>
                <w:sz w:val="20"/>
                <w:szCs w:val="20"/>
                <w:lang w:eastAsia="bs-Latn-BA"/>
              </w:rPr>
              <w:t xml:space="preserve"> </w:t>
            </w:r>
            <w:r w:rsidRPr="001A5E30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samostalno</w:t>
            </w:r>
            <w:r w:rsidRPr="007B30B8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na računalu rješava projektne i problemske zadatke u odabranom programu. </w:t>
            </w:r>
            <w:r w:rsidRPr="00C82A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Zadaci se temelje na primjeni u struci, suvremenom pristupu rješavanja zadanog zadatka i razvoju kreativnosti polaznika. Nastavnik zadaje problemsku situaciju, a polaznici</w:t>
            </w:r>
            <w:r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 xml:space="preserve"> </w:t>
            </w:r>
            <w:r w:rsidRPr="00C82AA2">
              <w:rPr>
                <w:rFonts w:ascii="Calibri" w:eastAsia="Calibri" w:hAnsi="Calibri" w:cs="Calibri"/>
                <w:sz w:val="20"/>
                <w:szCs w:val="20"/>
                <w:lang w:eastAsia="bs-Latn-BA"/>
              </w:rPr>
              <w:t>primjenom stečenih znanja i vještina, osmišljavaju i rješavaju zadani zadatak.</w:t>
            </w:r>
          </w:p>
        </w:tc>
      </w:tr>
      <w:tr w:rsidR="00504BF9" w:rsidRPr="00E57A41" w14:paraId="7B81E4E8" w14:textId="77777777" w:rsidTr="00240912">
        <w:tc>
          <w:tcPr>
            <w:tcW w:w="2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02FB8FC" w14:textId="77777777" w:rsidR="00504BF9" w:rsidRPr="003D68C0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31D85CE3" w14:textId="77777777" w:rsidR="00504BF9" w:rsidRPr="003D68C0" w:rsidRDefault="00504BF9" w:rsidP="00D20FFB">
            <w:pPr>
              <w:tabs>
                <w:tab w:val="left" w:pos="2820"/>
              </w:tabs>
              <w:spacing w:after="0" w:line="276" w:lineRule="auto"/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Preporučena literatura:</w:t>
            </w:r>
          </w:p>
          <w:p w14:paraId="547049EE" w14:textId="77777777" w:rsidR="00504BF9" w:rsidRPr="003D68C0" w:rsidRDefault="00504BF9" w:rsidP="00D20FFB">
            <w:pPr>
              <w:pStyle w:val="Odlomakpopisa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Ružić, D. (2003): e – Marketing, Sveučilište J. J. Strossmayera. Ekonomski fakultet Osijek. Osijek</w:t>
            </w:r>
          </w:p>
          <w:p w14:paraId="72D104A7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HubSpot learning centre - </w:t>
            </w:r>
            <w:hyperlink r:id="rId10" w:history="1">
              <w:r w:rsidRPr="003D68C0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val="bs-Latn-BA" w:eastAsia="bs-Latn-BA"/>
                </w:rPr>
                <w:t>https://academy.hubspot.com/</w:t>
              </w:r>
            </w:hyperlink>
            <w:r w:rsidRPr="003D68C0">
              <w:rPr>
                <w:rFonts w:ascii="Calibri" w:eastAsia="Calibri" w:hAnsi="Calibri" w:cs="Calibri"/>
                <w:bCs/>
                <w:sz w:val="18"/>
                <w:szCs w:val="18"/>
                <w:lang w:val="bs-Latn-BA" w:eastAsia="bs-Latn-BA"/>
              </w:rPr>
              <w:t xml:space="preserve">  </w:t>
            </w:r>
          </w:p>
          <w:p w14:paraId="57AC68A9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Google learning centre – </w:t>
            </w:r>
            <w:hyperlink r:id="rId11" w:anchor="topic=9917952" w:history="1">
              <w:r w:rsidRPr="003D68C0">
                <w:rPr>
                  <w:rFonts w:eastAsia="Calibri" w:cstheme="minorHAnsi"/>
                  <w:color w:val="0563C1"/>
                  <w:sz w:val="20"/>
                  <w:szCs w:val="20"/>
                  <w:u w:val="single"/>
                  <w:lang w:val="bs-Latn-BA" w:eastAsia="bs-Latn-BA"/>
                </w:rPr>
                <w:t>https://support.google.com/a/users/?hl=en#topic=9917952</w:t>
              </w:r>
            </w:hyperlink>
          </w:p>
          <w:p w14:paraId="0C380E1D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Rezo, D. (2016): Percepcija promotivnih poruka pri donošenju kupovne odluke. Sveučilište u Splitu, Split</w:t>
            </w:r>
          </w:p>
          <w:p w14:paraId="5D822588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lastRenderedPageBreak/>
              <w:t>Blažeković, K. (2020): Sadržajni marketing. Sveučilište u Puli, Pula</w:t>
            </w:r>
          </w:p>
          <w:p w14:paraId="64E6B8AE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Pulizzi, J. (2013): Epic Content Marketing: How to Tell a Different Story, Break through the Clutter, and Win More Customers by Marketing Less. McGraw-Hill Education, New York</w:t>
            </w:r>
          </w:p>
          <w:p w14:paraId="0247E918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Kingsnorth, S. (2019): Digital Marketing Strategy: An Integrated Approach to Online Marketing, 2nd Edition. Kogan Page Ltd, New York</w:t>
            </w:r>
          </w:p>
          <w:p w14:paraId="1BC5F731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Taroni, R. (2019): Instagram Influencer Marketing Secrets 2019., nezavisni nakladnik Ofobike, H. (2019): A Complete Guide to Influencer </w:t>
            </w:r>
          </w:p>
          <w:p w14:paraId="14A8D27F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Marketing, 2019., nezavisni nakladnik</w:t>
            </w:r>
          </w:p>
          <w:p w14:paraId="2BA00564" w14:textId="77777777" w:rsidR="00504BF9" w:rsidRPr="003D68C0" w:rsidRDefault="00504BF9" w:rsidP="00D20FFB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eastAsia="bs-Latn-BA"/>
              </w:rPr>
              <w:t>Krajnović, A., Sikirić, D. i Hordov, M. (2019): Digitalni marketing - nova era tržišne komunikacije. Sveučilište u Zadru, Zadar.</w:t>
            </w:r>
          </w:p>
          <w:p w14:paraId="34FB8A19" w14:textId="77777777" w:rsidR="00504BF9" w:rsidRPr="003D68C0" w:rsidRDefault="00504BF9" w:rsidP="00D20FFB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</w:pPr>
          </w:p>
          <w:p w14:paraId="30EDA079" w14:textId="77777777" w:rsidR="00504BF9" w:rsidRPr="003D68C0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Za realizaciju nastave mogu se koristiti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:</w:t>
            </w:r>
          </w:p>
          <w:p w14:paraId="27320F0F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programi za obradu teksta, slike, prezentacije (aplikacija koja se može koristiti je</w:t>
            </w:r>
          </w:p>
          <w:p w14:paraId="467888C4" w14:textId="77777777" w:rsidR="00504BF9" w:rsidRPr="003D68C0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dio MS Office paketa) </w:t>
            </w:r>
          </w:p>
          <w:p w14:paraId="1923AAA3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društvene mreže ovisno o popularnosti/aktualnosti (Facebook, Instagram,</w:t>
            </w:r>
          </w:p>
          <w:p w14:paraId="0855E41E" w14:textId="77777777" w:rsidR="00504BF9" w:rsidRPr="003D68C0" w:rsidRDefault="00504BF9" w:rsidP="00D20FF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LinkedIn, Twitter, Pinterest, TikTok,…)</w:t>
            </w:r>
          </w:p>
          <w:p w14:paraId="621D0F84" w14:textId="77777777" w:rsidR="00504BF9" w:rsidRPr="003D68C0" w:rsidRDefault="00504BF9" w:rsidP="00D20FFB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3D68C0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marketing tražilice (Yahoo Ads,  Google Ads, Bing Ads,…)</w:t>
            </w:r>
          </w:p>
          <w:p w14:paraId="0FE912C6" w14:textId="77777777" w:rsidR="00504BF9" w:rsidRPr="003D68C0" w:rsidRDefault="00504BF9" w:rsidP="00D20FFB">
            <w:pPr>
              <w:spacing w:after="0" w:line="276" w:lineRule="auto"/>
              <w:ind w:left="360"/>
              <w:contextualSpacing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</w:p>
        </w:tc>
      </w:tr>
    </w:tbl>
    <w:p w14:paraId="41379437" w14:textId="77777777" w:rsidR="00504BF9" w:rsidRPr="00E57A41" w:rsidRDefault="00504BF9" w:rsidP="00504BF9">
      <w:pPr>
        <w:spacing w:after="0" w:line="276" w:lineRule="auto"/>
        <w:rPr>
          <w:rFonts w:ascii="Calibri" w:eastAsia="Calibri" w:hAnsi="Calibri" w:cs="Calibri"/>
          <w:sz w:val="20"/>
          <w:szCs w:val="20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2A270E3F" w14:textId="77777777" w:rsidTr="00771E45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0C3DC63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1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92D050"/>
            <w:vAlign w:val="center"/>
          </w:tcPr>
          <w:p w14:paraId="38EAFE3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Internetska marketinška komunikacija</w:t>
            </w:r>
          </w:p>
        </w:tc>
      </w:tr>
      <w:tr w:rsidR="00504BF9" w:rsidRPr="00E57A41" w14:paraId="2093F8E0" w14:textId="77777777" w:rsidTr="00240912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375A5C4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3539F345" w14:textId="77777777" w:rsidTr="00240912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67BF695D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razlikovati vrste internetske marketinške komunikacije u poslovanju</w:t>
            </w:r>
          </w:p>
        </w:tc>
      </w:tr>
      <w:tr w:rsidR="00504BF9" w:rsidRPr="00E57A41" w14:paraId="43EAADB8" w14:textId="77777777" w:rsidTr="00240912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0B3679C8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osmisliti marketinšku komunikaciju u digitalnom poslovnom okruženju u cilju povećanja vidljivosti poslovanja </w:t>
            </w:r>
          </w:p>
        </w:tc>
      </w:tr>
      <w:tr w:rsidR="00504BF9" w:rsidRPr="00E57A41" w14:paraId="2296A834" w14:textId="77777777" w:rsidTr="00240912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1D17514D" w14:textId="77777777" w:rsidR="00504BF9" w:rsidRPr="00B35D3C" w:rsidRDefault="00504BF9" w:rsidP="00D20FFB">
            <w:pPr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protumačiti važnost sadržajnog ("content") marketinga </w:t>
            </w:r>
          </w:p>
        </w:tc>
      </w:tr>
      <w:tr w:rsidR="00504BF9" w:rsidRPr="00E57A41" w14:paraId="3883DF73" w14:textId="77777777" w:rsidTr="00240912">
        <w:trPr>
          <w:trHeight w:val="224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08BF9355" w14:textId="77777777" w:rsidR="00504BF9" w:rsidRPr="00B35D3C" w:rsidRDefault="00504BF9" w:rsidP="00D20FFB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contextualSpacing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procijeniti važnost "influencer" marketinga u cilju povećanja vidljivosti poslovanja </w:t>
            </w:r>
          </w:p>
        </w:tc>
      </w:tr>
      <w:tr w:rsidR="00504BF9" w:rsidRPr="00E57A41" w14:paraId="04F07E85" w14:textId="77777777" w:rsidTr="00240912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362001C4" w14:textId="77777777" w:rsidR="00504BF9" w:rsidRPr="00B35D3C" w:rsidRDefault="00504BF9" w:rsidP="00D20FFB">
            <w:pPr>
              <w:numPr>
                <w:ilvl w:val="0"/>
                <w:numId w:val="6"/>
              </w:numPr>
              <w:spacing w:after="0" w:line="276" w:lineRule="auto"/>
              <w:ind w:left="714" w:hanging="357"/>
              <w:contextualSpacing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B35D3C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prepoznati važnost društvenih medija u marketinškoj internetskoj komunikaciji</w:t>
            </w:r>
          </w:p>
        </w:tc>
      </w:tr>
      <w:tr w:rsidR="00504BF9" w:rsidRPr="00E57A41" w14:paraId="3C5798D8" w14:textId="77777777" w:rsidTr="00C4104F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9325E4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24D38CD3" w14:textId="77777777" w:rsidTr="00C4104F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078F6226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Dominantni nastavni sustavi ovoga modula su heuristička i predavačka nastava. </w:t>
            </w:r>
          </w:p>
          <w:p w14:paraId="22B510D1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Tijekom realizacije nastavnih sadržaja nastavnik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najprije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predavačkom nastavom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2006A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tumači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ključne pojmove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vezane </w:t>
            </w:r>
            <w:r>
              <w:t>uz oblike marketinške komunikacije poput</w:t>
            </w:r>
            <w:r w:rsidRPr="00A83F9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internetskog oglašavanja, oglašavanja putem ključnih riječi, </w:t>
            </w:r>
            <w:r w:rsidRPr="00540AB4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e-mail</w:t>
            </w:r>
            <w:r w:rsidRPr="00A83F9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marketinga te korištenja društvenih medija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.</w:t>
            </w:r>
          </w:p>
          <w:p w14:paraId="1752E092" w14:textId="77777777" w:rsidR="00504BF9" w:rsidRPr="00A83F9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Nakon </w:t>
            </w:r>
            <w:r w:rsidRPr="002006A7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usvajanja</w:t>
            </w:r>
            <w:r w:rsidRPr="001A5E30">
              <w:rPr>
                <w:rFonts w:ascii="Calibri" w:eastAsia="Calibri" w:hAnsi="Calibri" w:cs="Calibri"/>
                <w:bCs/>
                <w:color w:val="FF000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osnovnih pojmova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polaznici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kroz radne zadatke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individualno dolaze do saznanja o važnosti ključnih elemenata strategije marketinga (temeljnih vrijednosti poslovanja, ciljnoj publici, postavljenim ciljevima, vremenskom okviru i budžetu) s ciljem izgradnje digitalne marketinške kampanje u digitalnom poslovnom okruženju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(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heuristički pristup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)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. Nastavnik </w:t>
            </w:r>
            <w:r w:rsidRPr="00AB262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kontinuirano tumači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važnost sadržajnog marketinga koji se koristi na različitim komunikacijskim kanalima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te važnost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540AB4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influencer</w:t>
            </w:r>
            <w:r w:rsidRPr="00A83F92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marketinga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s ciljem povećanja vidljivosti poslovanja.</w:t>
            </w:r>
            <w:r w:rsidRPr="00A83F92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</w:t>
            </w:r>
          </w:p>
          <w:p w14:paraId="617DEED2" w14:textId="77777777" w:rsidR="00504BF9" w:rsidRPr="00A83F92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Polaznici samostalno rješavaju problemske zadatake koristeći </w:t>
            </w:r>
            <w:r w:rsidRPr="00362B8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stečena teorijska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znanja o internetskoj marketinškoj komunikaciji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,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a nastavnik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po potrebi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pomaže i usmjerava polaznika ka mogućem rješenju. Također, nastavnik polazniku daje povratnu informaciju o uspješnosti  rješavanja  problema. Po završetku modula polaznik individualno 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lastRenderedPageBreak/>
              <w:t>rješava kompleksniji projektni zadatak koji objedinjuje aktivnosti svih ishoda učenja, a rezultat je objavljen digitalni sadržaj u planiranoj marketinškoj kampanji na različitim digitalnim komunikacijskim kanalima.</w:t>
            </w:r>
          </w:p>
          <w:p w14:paraId="373FC77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Polaznicima će, uz neposredno pohađanje teorijske nastave u učionici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,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biti omogućeno praćenje nastavnih sadržaja putem </w:t>
            </w:r>
            <w:r w:rsidRPr="00895AA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</w:t>
            </w:r>
            <w:r w:rsidRPr="00895AA6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(</w:t>
            </w:r>
            <w:r w:rsidRPr="00895AA6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chat</w:t>
            </w:r>
            <w:r w:rsidRPr="00895AA6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)</w:t>
            </w:r>
            <w:r w:rsidRPr="00A83F92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504BF9" w:rsidRPr="00E57A41" w14:paraId="35386500" w14:textId="77777777" w:rsidTr="00C31BC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CE52C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204A1A6C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Marketinška komunikacija u </w:t>
            </w:r>
            <w:r w:rsidRPr="00490AE2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okruženju</w:t>
            </w:r>
          </w:p>
          <w:p w14:paraId="55E4665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Internetski marketinški kanali </w:t>
            </w:r>
          </w:p>
          <w:p w14:paraId="36361D66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Sadržajni „content“ marketing</w:t>
            </w:r>
          </w:p>
          <w:p w14:paraId="5512A21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7C59AA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Influencer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marketing</w:t>
            </w:r>
          </w:p>
          <w:p w14:paraId="46E0B2C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Društveni mediji u marketinškoj komunikaciji</w:t>
            </w:r>
          </w:p>
        </w:tc>
      </w:tr>
      <w:tr w:rsidR="00504BF9" w:rsidRPr="00E57A41" w14:paraId="1A8D9252" w14:textId="77777777" w:rsidTr="00C4104F">
        <w:trPr>
          <w:trHeight w:val="486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F877483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35E5800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330744" w14:textId="77777777" w:rsidR="00504BF9" w:rsidRPr="00E57A41" w:rsidRDefault="00504BF9" w:rsidP="00C31BCC">
            <w:pPr>
              <w:shd w:val="clear" w:color="auto" w:fill="FFFF00"/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Opis radne situacije i/ili projektnog zadatka: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Polaznik na temelju simulacije iz stvarnog života predlaže marketinšku internetsku komunikaciju.                                  </w:t>
            </w:r>
          </w:p>
          <w:p w14:paraId="74AA8D5F" w14:textId="77777777" w:rsidR="00504BF9" w:rsidRPr="00B81BF9" w:rsidRDefault="00504BF9" w:rsidP="00C31BCC">
            <w:pPr>
              <w:shd w:val="clear" w:color="auto" w:fill="FFFF00"/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Zadatak: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Povećan broj posjetitelja u NP Krka potak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nulo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je upravu na zapošljavanje još jednog marketinškog suradnika u timu. Na temelju dobivenih smjernica polaznik u ulozi marketinškog suradnika predlaže nove mogućnosti internetske marketinške komunikacije, suradnju s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influencerom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i sadržaje u cilju povećanja broja posjetitelja NP Krka. Polaznik izrađuje i predstavlja prezentaciju  s prijedlozima internetske marketinške komunikacije i moguće buduće suradnje s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influencerom.</w:t>
            </w:r>
          </w:p>
          <w:p w14:paraId="4DFE7544" w14:textId="77777777" w:rsidR="00504BF9" w:rsidRPr="00E57A41" w:rsidRDefault="00504BF9" w:rsidP="00C31BCC">
            <w:pPr>
              <w:shd w:val="clear" w:color="auto" w:fill="FFFF00"/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</w:pPr>
            <w:r w:rsidRPr="00895AA6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  <w:t>Vrednovanje:</w:t>
            </w:r>
            <w:r w:rsidRPr="00895AA6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 Pomoću unaprijed definiranih kriterija za elemente vrednovanja (sadržajni marketing, </w:t>
            </w:r>
            <w:r w:rsidRPr="00895AA6"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>influencer</w:t>
            </w: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marketing, prijedlozi internetske marketinške komunikacije) </w:t>
            </w:r>
            <w:r w:rsidRPr="00362B82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vrednuje se predstavljanje izrađene 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prezentacij</w:t>
            </w:r>
            <w:r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>e</w:t>
            </w:r>
            <w:r w:rsidRPr="00E57A41">
              <w:rPr>
                <w:rFonts w:ascii="Calibri" w:eastAsia="Calibri" w:hAnsi="Calibri" w:cs="Calibri"/>
                <w:bCs/>
                <w:iCs/>
                <w:sz w:val="20"/>
                <w:szCs w:val="20"/>
                <w:lang w:val="bs-Latn-BA" w:eastAsia="bs-Latn-BA"/>
              </w:rPr>
              <w:t xml:space="preserve">. </w:t>
            </w:r>
          </w:p>
        </w:tc>
      </w:tr>
      <w:tr w:rsidR="00504BF9" w:rsidRPr="00E57A41" w14:paraId="1C6E08DA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06C7916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6B4DF9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564E1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3DFE995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</w:p>
        </w:tc>
      </w:tr>
    </w:tbl>
    <w:p w14:paraId="295A0109" w14:textId="38A76FC7" w:rsidR="007E4911" w:rsidRDefault="007E4911" w:rsidP="00504BF9">
      <w:pPr>
        <w:spacing w:after="200" w:line="276" w:lineRule="auto"/>
        <w:rPr>
          <w:rFonts w:ascii="Calibri" w:eastAsia="Calibri" w:hAnsi="Calibri" w:cs="Calibri"/>
          <w:lang w:val="bs-Latn-BA" w:eastAsia="bs-Latn-BA"/>
        </w:rPr>
      </w:pPr>
    </w:p>
    <w:p w14:paraId="0A77ED01" w14:textId="77777777" w:rsidR="007E4911" w:rsidRDefault="007E4911">
      <w:pPr>
        <w:rPr>
          <w:rFonts w:ascii="Calibri" w:eastAsia="Calibri" w:hAnsi="Calibri" w:cs="Calibri"/>
          <w:lang w:val="bs-Latn-BA" w:eastAsia="bs-Latn-BA"/>
        </w:rPr>
      </w:pPr>
      <w:r>
        <w:rPr>
          <w:rFonts w:ascii="Calibri" w:eastAsia="Calibri" w:hAnsi="Calibri" w:cs="Calibri"/>
          <w:lang w:val="bs-Latn-BA" w:eastAsia="bs-Latn-BA"/>
        </w:rPr>
        <w:br w:type="page"/>
      </w:r>
    </w:p>
    <w:p w14:paraId="785D9198" w14:textId="77777777" w:rsidR="00504BF9" w:rsidRDefault="00504BF9" w:rsidP="00504BF9">
      <w:pPr>
        <w:spacing w:after="200" w:line="276" w:lineRule="auto"/>
        <w:rPr>
          <w:rFonts w:ascii="Calibri" w:eastAsia="Calibri" w:hAnsi="Calibri" w:cs="Calibri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04BF9" w:rsidRPr="00E57A41" w14:paraId="40546860" w14:textId="77777777" w:rsidTr="00D20FFB">
        <w:trPr>
          <w:trHeight w:val="558"/>
        </w:trPr>
        <w:tc>
          <w:tcPr>
            <w:tcW w:w="2537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CE67EB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19871D9" w14:textId="77777777" w:rsidR="00504BF9" w:rsidRPr="00E57A41" w:rsidRDefault="00504BF9" w:rsidP="00D20FFB">
            <w:pPr>
              <w:spacing w:before="60" w:after="60" w:line="240" w:lineRule="auto"/>
              <w:ind w:left="397" w:hanging="397"/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sz w:val="20"/>
                <w:szCs w:val="20"/>
                <w:lang w:val="bs-Latn-BA" w:eastAsia="bs-Latn-BA"/>
              </w:rPr>
              <w:t>Internetska marketinška kampanja u svrhu promocije i brendiranja</w:t>
            </w:r>
          </w:p>
        </w:tc>
      </w:tr>
      <w:tr w:rsidR="00504BF9" w:rsidRPr="00E57A41" w14:paraId="4997ED0A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34FCDA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8D4DFBB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</w:p>
        </w:tc>
      </w:tr>
      <w:tr w:rsidR="00504BF9" w:rsidRPr="00E57A41" w14:paraId="4C6D8E84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46D7159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5A23F91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Najmanje razina 7.1 HKO-a (300 ECTS) odgovarajućeg profila. Specifična znanja povezana sa SIU mogu biti stečena formalnim obrazovanjem, neformalnim i informalnim učenjem.</w:t>
            </w:r>
          </w:p>
        </w:tc>
      </w:tr>
      <w:tr w:rsidR="00504BF9" w:rsidRPr="00E57A41" w14:paraId="7FFFDF6D" w14:textId="77777777" w:rsidTr="00D20FFB">
        <w:trPr>
          <w:trHeight w:val="558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014CED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F0D3F3" w14:textId="77777777" w:rsidR="00504BF9" w:rsidRPr="00E57A41" w:rsidRDefault="00504BF9" w:rsidP="00D20FFB">
            <w:pPr>
              <w:spacing w:after="0" w:line="276" w:lineRule="auto"/>
              <w:ind w:left="397" w:hanging="397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6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CSVET</w:t>
            </w:r>
          </w:p>
        </w:tc>
      </w:tr>
      <w:tr w:rsidR="00504BF9" w:rsidRPr="00E57A41" w14:paraId="229E82DB" w14:textId="77777777" w:rsidTr="00D20FFB">
        <w:tc>
          <w:tcPr>
            <w:tcW w:w="2537" w:type="dxa"/>
            <w:vMerge w:val="restart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62B43BF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Načini stjecanja ishoda učenja (od –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do, postotak)</w:t>
            </w:r>
          </w:p>
        </w:tc>
        <w:tc>
          <w:tcPr>
            <w:tcW w:w="1852" w:type="dxa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14D2C6A3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Vođeni proces učenja i poučavanja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751B234B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2552" w:type="dxa"/>
            <w:shd w:val="clear" w:color="auto" w:fill="9CC2E5"/>
            <w:vAlign w:val="center"/>
          </w:tcPr>
          <w:p w14:paraId="2D25EA69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Samostalne aktivnosti polaznika</w:t>
            </w:r>
          </w:p>
        </w:tc>
      </w:tr>
      <w:tr w:rsidR="00504BF9" w:rsidRPr="00E57A41" w14:paraId="6A73C56D" w14:textId="77777777" w:rsidTr="00D20FFB">
        <w:trPr>
          <w:trHeight w:val="540"/>
        </w:trPr>
        <w:tc>
          <w:tcPr>
            <w:tcW w:w="2537" w:type="dxa"/>
            <w:vMerge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60ED4B1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2024890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55 (37%)</w:t>
            </w:r>
          </w:p>
        </w:tc>
        <w:tc>
          <w:tcPr>
            <w:tcW w:w="2552" w:type="dxa"/>
            <w:vAlign w:val="center"/>
          </w:tcPr>
          <w:p w14:paraId="5CA6BA57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53 (36%)</w:t>
            </w:r>
          </w:p>
        </w:tc>
        <w:tc>
          <w:tcPr>
            <w:tcW w:w="2552" w:type="dxa"/>
            <w:vAlign w:val="center"/>
          </w:tcPr>
          <w:p w14:paraId="03478988" w14:textId="77777777" w:rsidR="00504BF9" w:rsidRPr="00E57A41" w:rsidRDefault="00504BF9" w:rsidP="00D20FFB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41 (27%)</w:t>
            </w:r>
          </w:p>
        </w:tc>
      </w:tr>
      <w:tr w:rsidR="00504BF9" w:rsidRPr="00E57A41" w14:paraId="2FC14EC6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69C81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Status modula</w:t>
            </w:r>
          </w:p>
          <w:p w14:paraId="532DA42C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FFFE09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obvezni</w:t>
            </w:r>
          </w:p>
        </w:tc>
      </w:tr>
      <w:tr w:rsidR="00504BF9" w:rsidRPr="00E57A41" w14:paraId="46397695" w14:textId="77777777" w:rsidTr="00D20FFB">
        <w:trPr>
          <w:trHeight w:val="626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F7E1EA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A29BA2" w14:textId="77777777" w:rsidR="00504BF9" w:rsidRPr="00E57A41" w:rsidRDefault="00504BF9" w:rsidP="00D20FF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Cilj modula je </w:t>
            </w:r>
            <w:r w:rsidRPr="00362B82">
              <w:rPr>
                <w:rFonts w:cstheme="minorHAnsi"/>
                <w:noProof/>
                <w:sz w:val="20"/>
                <w:szCs w:val="20"/>
              </w:rPr>
              <w:t xml:space="preserve">polaznicima omogućiti </w:t>
            </w: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stjecanje znanja i vještina potrebnih za primjenu alata i tehnika digitalnog marketinga u svrhu kreiranja internetske marketinške kampanje. Završetkom modula polaznici će moći izabrati odgovarajuće alate i tehnike digitalnog marketinga pogodne za brendiranje i promociju u </w:t>
            </w:r>
            <w:r w:rsidRPr="00362B82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362B82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okruženju. Korištenjem izabranih alata i tehnika za provedbu, praćenje i analizu internetskih marketinških aktivnosti, polaznici će moći upravljati provedbom internetske marketinške kampanje te će moći samostalno izraditi marketinšku kampanju korištenjem nekoliko različitih tehnika i alata digitalnog marketinga.</w:t>
            </w:r>
          </w:p>
        </w:tc>
      </w:tr>
      <w:tr w:rsidR="00504BF9" w:rsidRPr="00E57A41" w14:paraId="1EDE84B7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5871F1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BBFF9C9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</w:pPr>
            <w:r w:rsidRPr="00AB2622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alat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i digitalnog marketinga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tehnike digitalnog marketinga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digitalna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marketinška kampanja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 xml:space="preserve">, </w:t>
            </w:r>
            <w:r w:rsidRPr="00E57A41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 xml:space="preserve">SEO optimizacija, e-mail marketing, alati za provedbu, praćenje i analiza internetskih marketinških aktivnosti, </w:t>
            </w:r>
            <w:r w:rsidRPr="00E57A4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brendiranje u online poslovanju, društvene mreže, mobilni marketing</w:t>
            </w:r>
          </w:p>
        </w:tc>
      </w:tr>
      <w:tr w:rsidR="00504BF9" w:rsidRPr="00E57A41" w14:paraId="01401AEE" w14:textId="77777777" w:rsidTr="00D20FFB"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9961B26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C6342" w14:textId="77777777" w:rsidR="00504BF9" w:rsidRPr="00006916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C3379A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simulacija i stvarnih </w:t>
            </w:r>
            <w:r w:rsidRPr="0000691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projektnih zadataka u poslovnome sektoru koje polaznik samostalno rješava u odabranome  programu.</w:t>
            </w:r>
          </w:p>
          <w:p w14:paraId="0098CEBF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  <w:r w:rsidRPr="0000691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Problemski zadaci su oblikovani i usmjereni na razvoj kreativnosti polaznika uz suvremeni pristup rješavanja zadanog zadatka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Nastavnik zadaje problemsku situaciju, a polaznici koristeći se stećenim znanjem i vještinama, osmišljavaju i rješavaju zadani zadatak. </w:t>
            </w:r>
          </w:p>
        </w:tc>
      </w:tr>
      <w:tr w:rsidR="00504BF9" w:rsidRPr="00E57A41" w14:paraId="5E7EFCB9" w14:textId="77777777" w:rsidTr="00D20FFB">
        <w:trPr>
          <w:trHeight w:val="1692"/>
        </w:trPr>
        <w:tc>
          <w:tcPr>
            <w:tcW w:w="253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355D004" w14:textId="77777777" w:rsidR="00504BF9" w:rsidRPr="00E57A41" w:rsidRDefault="00504BF9" w:rsidP="00D20FF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tbl>
            <w:tblPr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5"/>
            </w:tblGrid>
            <w:tr w:rsidR="00504BF9" w:rsidRPr="00E57A41" w14:paraId="3EFB22AA" w14:textId="77777777" w:rsidTr="00D20FFB">
              <w:tc>
                <w:tcPr>
                  <w:tcW w:w="9495" w:type="dxa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E19E73A" w14:textId="77777777" w:rsidR="00504BF9" w:rsidRPr="00E57A41" w:rsidRDefault="00504BF9" w:rsidP="00D20FFB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  <w:t>Preporučena literatura:</w:t>
                  </w:r>
                </w:p>
                <w:p w14:paraId="22C88F59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Kingsnorth, S. (2019): Digital Marketing Strategy: An Integrated Approach to </w:t>
                  </w:r>
                </w:p>
                <w:p w14:paraId="03302174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Online Marketing, 2nd Edition. Kogan Page Ltd, New York </w:t>
                  </w:r>
                </w:p>
                <w:p w14:paraId="688003A1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Brodnjak, D. (2019): Mobilni marketing kao oblik izravnog marketinga. </w:t>
                  </w:r>
                </w:p>
                <w:p w14:paraId="121822F1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Zagrebu, Zagreb</w:t>
                  </w:r>
                </w:p>
                <w:p w14:paraId="43012DCD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Erceg, M. (2018): Optimizacija web mjesta kao element promotivnog spleta </w:t>
                  </w:r>
                </w:p>
                <w:p w14:paraId="1F46D86F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internetskog marketinga. Sveučilište u Zagrebu, Zagreb</w:t>
                  </w:r>
                </w:p>
                <w:p w14:paraId="7BE9CE52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Goluža, T. (2020): Remarketing oglašavanje. Sveučilište u Osijeku, Osijek</w:t>
                  </w:r>
                </w:p>
                <w:p w14:paraId="539D223D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Matak, B. (2020): SEO optimizacija na primjeru izrade internetske stranice. </w:t>
                  </w:r>
                </w:p>
                <w:p w14:paraId="4E376124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Puli, Pula</w:t>
                  </w:r>
                </w:p>
                <w:p w14:paraId="3D9679E5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Muslim, L. (2019): Optimizacija internetskih stranica za web - tražilice kao </w:t>
                  </w:r>
                </w:p>
                <w:p w14:paraId="50CF1B89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strategija digitalnog marketinga. Sveučilište u Splitu, Split</w:t>
                  </w:r>
                </w:p>
                <w:p w14:paraId="34602C5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Rubčić, T. (2019): Značenje mobilnog marketinga za poslovanje poduzeća. </w:t>
                  </w:r>
                </w:p>
                <w:p w14:paraId="6891C9B7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Sveučilište u Dubrovniku, Dubrovnik</w:t>
                  </w:r>
                </w:p>
                <w:p w14:paraId="3BF44F9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lastRenderedPageBreak/>
                    <w:t xml:space="preserve">Ružić, D., Biloš, A. i Turkalj, D. (2014): E-marketing. Sveučilište u Osijeku, </w:t>
                  </w:r>
                </w:p>
                <w:p w14:paraId="269E3317" w14:textId="77777777" w:rsidR="00504BF9" w:rsidRPr="00E57A41" w:rsidRDefault="00504BF9" w:rsidP="00D20FFB">
                  <w:pPr>
                    <w:spacing w:after="0" w:line="276" w:lineRule="auto"/>
                    <w:ind w:left="31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Osijek</w:t>
                  </w:r>
                </w:p>
                <w:p w14:paraId="1E1ACE07" w14:textId="77777777" w:rsidR="00504BF9" w:rsidRPr="00E57A41" w:rsidRDefault="00504BF9" w:rsidP="00D20FFB">
                  <w:pPr>
                    <w:numPr>
                      <w:ilvl w:val="0"/>
                      <w:numId w:val="8"/>
                    </w:numPr>
                    <w:spacing w:after="0" w:line="276" w:lineRule="auto"/>
                    <w:ind w:left="312" w:hanging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Špada, D.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(2018): </w:t>
                  </w: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Analiza Google Adwords oglašavanja. Sveučilište u Puli, Pula. </w:t>
                  </w:r>
                </w:p>
                <w:p w14:paraId="055E9FC3" w14:textId="77777777" w:rsidR="00504BF9" w:rsidRPr="00E57A41" w:rsidRDefault="00504BF9" w:rsidP="00D20FFB">
                  <w:pPr>
                    <w:spacing w:after="200" w:line="276" w:lineRule="auto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val="bs-Latn-BA" w:eastAsia="bs-Latn-BA"/>
                    </w:rPr>
                  </w:pPr>
                </w:p>
                <w:p w14:paraId="1A23BEAE" w14:textId="77777777" w:rsidR="00504BF9" w:rsidRPr="003D68C0" w:rsidRDefault="00504BF9" w:rsidP="00D20FFB">
                  <w:pPr>
                    <w:spacing w:after="200" w:line="276" w:lineRule="auto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bs-Latn-BA" w:eastAsia="bs-Latn-BA"/>
                    </w:rPr>
                    <w:t>Za realizaciju nastave koriste se:</w:t>
                  </w:r>
                </w:p>
                <w:p w14:paraId="6856CD95" w14:textId="77777777" w:rsidR="00504BF9" w:rsidRPr="003D68C0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07" w:hanging="307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programi za obradu teksta, prezentacije (aplikacija koja se može koristiti je</w:t>
                  </w:r>
                </w:p>
                <w:p w14:paraId="6519CC0E" w14:textId="77777777" w:rsidR="00504BF9" w:rsidRPr="003D68C0" w:rsidRDefault="00504BF9" w:rsidP="00D20FFB">
                  <w:pPr>
                    <w:spacing w:after="0" w:line="276" w:lineRule="auto"/>
                    <w:ind w:left="307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dio MS Office paketa) </w:t>
                  </w:r>
                </w:p>
                <w:p w14:paraId="29B629C0" w14:textId="77777777" w:rsidR="00504BF9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3D68C0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softveri: HubSpot CRM, MailChimp</w:t>
                  </w:r>
                  <w:r w:rsidRPr="00BD521B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, Google My Business, </w:t>
                  </w:r>
                  <w:r w:rsidRPr="0019331D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Hootsuite, Canva, </w:t>
                  </w:r>
                </w:p>
                <w:p w14:paraId="4C6C7D78" w14:textId="77777777" w:rsidR="00504BF9" w:rsidRPr="0019331D" w:rsidRDefault="00504BF9" w:rsidP="00D20FFB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19331D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Google Analytics</w:t>
                  </w:r>
                </w:p>
                <w:p w14:paraId="791652CF" w14:textId="77777777" w:rsidR="00504BF9" w:rsidRPr="00E57A41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 xml:space="preserve">društvene mreže ovisno o popularnosti (Facebook, Instagram, LinkedIn, </w:t>
                  </w:r>
                </w:p>
                <w:p w14:paraId="6873D6D1" w14:textId="77777777" w:rsidR="00504BF9" w:rsidRPr="00E57A41" w:rsidRDefault="00504BF9" w:rsidP="00D20FFB">
                  <w:pPr>
                    <w:spacing w:after="0" w:line="276" w:lineRule="auto"/>
                    <w:ind w:left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Twitter, Pinterest, TikTok,…)</w:t>
                  </w:r>
                </w:p>
                <w:p w14:paraId="3F050770" w14:textId="77777777" w:rsidR="00504BF9" w:rsidRPr="00E57A41" w:rsidRDefault="00504BF9" w:rsidP="00D20FFB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54" w:hanging="357"/>
                    <w:jc w:val="both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  <w:lang w:val="bs-Latn-BA" w:eastAsia="bs-Latn-BA"/>
                    </w:rPr>
                  </w:pPr>
                  <w:r w:rsidRPr="00E57A41">
                    <w:rPr>
                      <w:rFonts w:ascii="Calibri" w:eastAsia="Calibri" w:hAnsi="Calibri" w:cs="Calibri"/>
                      <w:sz w:val="20"/>
                      <w:szCs w:val="20"/>
                      <w:lang w:val="bs-Latn-BA" w:eastAsia="bs-Latn-BA"/>
                    </w:rPr>
                    <w:t>marketing tražilice (Yahoo Ads,  Google Ads, Bing Ads,…)</w:t>
                  </w:r>
                </w:p>
              </w:tc>
            </w:tr>
          </w:tbl>
          <w:p w14:paraId="436D9878" w14:textId="77777777" w:rsidR="00504BF9" w:rsidRPr="00E57A41" w:rsidRDefault="00504BF9" w:rsidP="00D20FFB">
            <w:pPr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val="bs-Latn-BA" w:eastAsia="bs-Latn-BA"/>
              </w:rPr>
            </w:pPr>
          </w:p>
        </w:tc>
      </w:tr>
    </w:tbl>
    <w:p w14:paraId="48B229D6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6BBA541B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75FBCE68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bookmarkStart w:id="0" w:name="_Hlk93039333"/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2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82A598D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Brendiranje u </w:t>
            </w:r>
            <w:r w:rsidRPr="00490A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 xml:space="preserve"> poslovanju</w:t>
            </w:r>
          </w:p>
        </w:tc>
      </w:tr>
      <w:tr w:rsidR="00504BF9" w:rsidRPr="00E57A41" w14:paraId="47038F88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808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799389A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636D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razlikovati alate  digitalnog marketinga u cilju povećanja vidljivosti poslovanja </w:t>
            </w:r>
          </w:p>
        </w:tc>
      </w:tr>
      <w:tr w:rsidR="00504BF9" w:rsidRPr="00E57A41" w14:paraId="60C54218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5F0D7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koristiti oglašavanje na društvenim mrežama u cilju povećanja vidljivosti poslovanja </w:t>
            </w:r>
          </w:p>
        </w:tc>
      </w:tr>
      <w:tr w:rsidR="00504BF9" w:rsidRPr="00E57A41" w14:paraId="3C7FD1AA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57255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primijeniti SEO optimizaciju u cilju povećanja vidljivosti poslovanja </w:t>
            </w:r>
          </w:p>
        </w:tc>
      </w:tr>
      <w:tr w:rsidR="00504BF9" w:rsidRPr="00E57A41" w14:paraId="73693201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B35B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oblikovati  oglašavanje putem pametnih telefona u cilju povećanja vidljivosti poslovanja </w:t>
            </w:r>
          </w:p>
        </w:tc>
      </w:tr>
      <w:tr w:rsidR="00504BF9" w:rsidRPr="00E57A41" w14:paraId="758E992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03FDC" w14:textId="77777777" w:rsidR="00504BF9" w:rsidRPr="00E1085E" w:rsidRDefault="00504BF9" w:rsidP="00D20FFB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kreirati e-mail marketing kampanju u cilju povećanja vidljivosti poslovanja </w:t>
            </w:r>
          </w:p>
        </w:tc>
      </w:tr>
      <w:tr w:rsidR="00504BF9" w:rsidRPr="00E57A41" w14:paraId="2599395E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979E1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5944702D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3A909C" w14:textId="77777777" w:rsidR="00504BF9" w:rsidRPr="00E57A41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Dominantni nastavni sustavi ovoga modula su heuristička i  dijelom predavačka nastava. </w:t>
            </w:r>
          </w:p>
          <w:p w14:paraId="1BCA72C3" w14:textId="77777777" w:rsidR="00504BF9" w:rsidRPr="00715FA1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Tijekom realizacije nastavnih sadržaja nastavnik predavačkom nastavom upoznaje polaznike s alatima digitalnog marketinga.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H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eurističkim pristupom 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nastavnik potiče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polazni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ke na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individualn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e aktivnosti koje ih vode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do saznanja o važnosti prilagođavanja </w:t>
            </w:r>
            <w:r w:rsidRPr="00895AA6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web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stranica i optimizaciji sadržaja s ciljem postizanja bolje rangiranosti i posjećenosti na tražilicama</w:t>
            </w:r>
            <w:r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. </w:t>
            </w:r>
            <w:r w:rsidRPr="003D68C0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Polaznici individualno povezuju važnost oglašavanja korištenjem pametnih telefona i društvenih </w:t>
            </w:r>
            <w:r w:rsidRPr="00895AA6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mreža  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s ciljem povezivanja brenda s potencijalnim potrošačima te dolaze do saznanja o važnosti i učinkovitosti korištenja marketinga s dozvolom - </w:t>
            </w:r>
            <w:r w:rsidRPr="00715FA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e-mail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marketinga.</w:t>
            </w:r>
          </w:p>
          <w:p w14:paraId="40A15E43" w14:textId="77777777" w:rsidR="00504BF9" w:rsidRPr="00715FA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</w:pP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Polaznici samostalno rješavaju problemske zadatke koristeći stečena znanja o alatima digitalnog marketinga koja su usvojili tijekom obrade nastavnih sadržaja a nastavnik u slučaju potrebe pomaže i usmjerava polaznika ka mogućem rješenju. Također, nastavnik polazniku daje povratnu informaciju o uspješnosti  rješavanja  problema. Po završetku modula polaznik individualno rješava kompleksniji projektni zadatak koji objedinjuje aktivnosti svih ishoda učenja, a rezultat je idejna mogućnost digitalnog brendiranja u cilju povećanja vidljivosti poslovanja.</w:t>
            </w:r>
          </w:p>
          <w:p w14:paraId="09A9FC65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Polaznicima će, uz neposredno pohađanje teorijske nastave, u učionici biti omogućeno praćenje nastavnih sadržaja putem </w:t>
            </w:r>
            <w:r w:rsidRPr="00715FA1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bs-Latn-BA"/>
              </w:rPr>
              <w:t>online</w:t>
            </w:r>
            <w:r w:rsidRPr="00715FA1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 xml:space="preserve"> prijenosa u stvarnom vremenu, putem aplikacija i alata za virtualno učenje na odgovarajućim platformama i odgovarajućim programskim alatima (npr. Zoom, Microsoft Teams i sl.). Ovakav način komunikacije</w:t>
            </w:r>
            <w:r w:rsidRPr="00715FA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omogućava interaktivnost kroz zvučnu, vizualnu i pisanu (</w:t>
            </w:r>
            <w:r w:rsidRPr="00715FA1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val="bs-Latn-BA" w:eastAsia="bs-Latn-BA"/>
              </w:rPr>
              <w:t>chat</w:t>
            </w:r>
            <w:r w:rsidRPr="00715FA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) komunikaciju uz korištenje računala (tableta ili pametnog telefona) i Internet veze. Polaznici su dužni sudjelovati na nastavi i poštivati sva pravila 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u učionici na daljinu kao i uživo na nastavi.</w:t>
            </w:r>
          </w:p>
        </w:tc>
      </w:tr>
      <w:tr w:rsidR="00504BF9" w:rsidRPr="00E57A41" w14:paraId="13CAD08E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190651C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83B93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 digitalnog marketinga</w:t>
            </w:r>
          </w:p>
          <w:p w14:paraId="5764545B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Brendiranje u </w:t>
            </w:r>
            <w:r w:rsidRPr="00895AA6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online</w:t>
            </w: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poslovanju</w:t>
            </w:r>
          </w:p>
          <w:p w14:paraId="3F0512C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Društvene mreže i njihova uloga u marketingu i brendiranju</w:t>
            </w:r>
          </w:p>
          <w:p w14:paraId="40AF4A5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Mobilni marketing</w:t>
            </w:r>
          </w:p>
          <w:p w14:paraId="1FC2EB5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895AA6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E-mail</w:t>
            </w: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marketing</w:t>
            </w:r>
          </w:p>
        </w:tc>
      </w:tr>
      <w:tr w:rsidR="00504BF9" w:rsidRPr="00E57A41" w14:paraId="7B732892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AFA5A9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52AE3AC1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E863A0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>Opis radne situacije i/ili projektnog zadatka</w:t>
            </w:r>
            <w:r w:rsidRPr="00B340A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B340AC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izrađuje mrežnu stranicu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u svrhu povećanja vidljivosti zamišljenog proizvoda te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predlaže načine 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brendiranja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istoga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6D42AAE4" w14:textId="77777777" w:rsidR="00504BF9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 xml:space="preserve">Zadatak: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Polaznik izrađuje mrežnu stranicu kojom se želi povećati vidljivost brenda “X” i koja će zadovoljiti sljedeće funkcionalnosti: responzivnost, CTA 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(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call to action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),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konzistentnost u strukturi sadržaja, navigacija i jezične postavke.  Mrežna stranica sadržava osnovne elemente: logotip (vizualni identitet), navigaciju, sadržaj (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naslov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podnaslov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tekstov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, slike, vide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e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poveznice)</w:t>
            </w:r>
            <w:r w:rsidRPr="00895AA6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 podnožje. Na izrađenoj mrežnoj stranici polaznik postavlja poveznicu za </w:t>
            </w:r>
            <w:r w:rsidRPr="00895AA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newsletter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. Polaznik prati akcije korisnika na </w:t>
            </w:r>
            <w:r w:rsidRPr="00E1085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web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stranici i predlaže ključne riječi koje se postavljaju na mrežnu stranicu radi bržeg pretraživanja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te polaznik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poveznicu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izrađene mrežne stranice postavlja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na društvene mreže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.</w:t>
            </w:r>
          </w:p>
          <w:p w14:paraId="31A2EEC1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 w:rsidRPr="00B779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hr-HR"/>
              </w:rPr>
              <w:t xml:space="preserve">Vrednovanje: 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Provodi se pomoću unaprijed definiranih kriterija za elemente vrednovanja (elementi mrežne stranice, funkcionalnost mrežne stranice, brendiranje u </w:t>
            </w:r>
            <w:r w:rsidRPr="00B779C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poslovanju, </w:t>
            </w:r>
            <w:r w:rsidRPr="00B779C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bs-Latn-BA" w:eastAsia="hr-HR"/>
              </w:rPr>
              <w:t>e-mail</w:t>
            </w:r>
            <w:r w:rsidRPr="00B779C9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marketing, društvene mreže).</w:t>
            </w:r>
            <w:r w:rsidRPr="00E57A41"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  <w:tr w:rsidR="00504BF9" w:rsidRPr="00E57A41" w14:paraId="7D8A253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0D363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0BDF237B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C2042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2925028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</w:p>
        </w:tc>
      </w:tr>
      <w:bookmarkEnd w:id="0"/>
    </w:tbl>
    <w:p w14:paraId="0A60D3C5" w14:textId="77777777" w:rsidR="00504BF9" w:rsidRPr="00E57A41" w:rsidRDefault="00504BF9" w:rsidP="00504BF9">
      <w:pPr>
        <w:spacing w:after="200" w:line="276" w:lineRule="auto"/>
        <w:rPr>
          <w:rFonts w:ascii="Calibri" w:eastAsia="Calibri" w:hAnsi="Calibri" w:cs="Calibri"/>
          <w:sz w:val="16"/>
          <w:szCs w:val="16"/>
          <w:lang w:val="bs-Latn-BA" w:eastAsia="bs-Latn-B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04BF9" w:rsidRPr="00E57A41" w14:paraId="2F0DF2CE" w14:textId="77777777" w:rsidTr="00D20FFB">
        <w:trPr>
          <w:trHeight w:val="409"/>
        </w:trPr>
        <w:tc>
          <w:tcPr>
            <w:tcW w:w="2679" w:type="dxa"/>
            <w:gridSpan w:val="2"/>
            <w:shd w:val="clear" w:color="auto" w:fill="9CC2E5"/>
            <w:tcMar>
              <w:left w:w="57" w:type="dxa"/>
              <w:right w:w="57" w:type="dxa"/>
            </w:tcMar>
            <w:vAlign w:val="center"/>
          </w:tcPr>
          <w:p w14:paraId="3FA8D4E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Skup ishoda učenja iz SK-a</w:t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bs-Latn-BA" w:eastAsia="bs-Latn-BA"/>
              </w:rPr>
              <w:footnoteReference w:id="3"/>
            </w: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:</w:t>
            </w:r>
            <w:r w:rsidRPr="00E57A41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AFB8AF0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bs-Latn-BA" w:eastAsia="bs-Latn-BA"/>
              </w:rPr>
              <w:t>Internetska marketinška kampanja</w:t>
            </w:r>
          </w:p>
        </w:tc>
      </w:tr>
      <w:tr w:rsidR="00504BF9" w:rsidRPr="00E57A41" w14:paraId="3E9A4AB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28859A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Ishodi učenja</w:t>
            </w:r>
          </w:p>
        </w:tc>
      </w:tr>
      <w:tr w:rsidR="00504BF9" w:rsidRPr="00E57A41" w14:paraId="1FFD024F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08221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razlikovati tehnike digitalnog marketinga za unapređenje poslovanja</w:t>
            </w:r>
          </w:p>
        </w:tc>
      </w:tr>
      <w:tr w:rsidR="00504BF9" w:rsidRPr="00E57A41" w14:paraId="7F0A3376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E4DC4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kreirati internetsku marketinšku kampanju u promociji</w:t>
            </w:r>
          </w:p>
        </w:tc>
      </w:tr>
      <w:tr w:rsidR="00504BF9" w:rsidRPr="00E57A41" w14:paraId="5836D282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53F36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povezati brendiranje u </w:t>
            </w:r>
            <w:r w:rsidRPr="00490AE2">
              <w:rPr>
                <w:rFonts w:ascii="Calibri" w:eastAsia="Calibri" w:hAnsi="Calibri" w:cs="Calibri"/>
                <w:i/>
                <w:sz w:val="20"/>
                <w:szCs w:val="20"/>
                <w:lang w:val="bs-Latn-BA" w:eastAsia="bs-Latn-BA"/>
              </w:rPr>
              <w:t>online</w:t>
            </w: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 xml:space="preserve"> poslovanju s vrstama internetskih marketinških aktivnosti</w:t>
            </w:r>
          </w:p>
        </w:tc>
      </w:tr>
      <w:tr w:rsidR="00504BF9" w:rsidRPr="00E57A41" w14:paraId="2CDFFC95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6A18A" w14:textId="77777777" w:rsidR="00504BF9" w:rsidRPr="00E1085E" w:rsidRDefault="00504BF9" w:rsidP="00D20FFB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koristiti alate za provedbu, praćenje i analizu internetskih marketinških aktivnosti u provedbi marketinške kampanje</w:t>
            </w:r>
          </w:p>
        </w:tc>
      </w:tr>
      <w:tr w:rsidR="00504BF9" w:rsidRPr="00E57A41" w14:paraId="495CF5A0" w14:textId="77777777" w:rsidTr="00D20FFB">
        <w:trPr>
          <w:trHeight w:val="427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7E9A49D" w14:textId="77777777" w:rsidR="00504BF9" w:rsidRPr="00E1085E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lang w:val="bs-Latn-BA" w:eastAsia="bs-Latn-BA"/>
              </w:rPr>
            </w:pPr>
            <w:r w:rsidRPr="00E1085E">
              <w:rPr>
                <w:rFonts w:ascii="Calibri" w:eastAsia="Calibri" w:hAnsi="Calibri" w:cs="Calibri"/>
                <w:b/>
                <w:iCs/>
                <w:sz w:val="20"/>
                <w:szCs w:val="20"/>
                <w:lang w:val="bs-Latn-BA" w:eastAsia="bs-Latn-BA"/>
              </w:rPr>
              <w:t>Dominantan nastavni sustav i opis načina ostvarivanja SIU</w:t>
            </w:r>
          </w:p>
        </w:tc>
      </w:tr>
      <w:tr w:rsidR="00504BF9" w:rsidRPr="00E57A41" w14:paraId="40994772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47C5C2" w14:textId="77777777" w:rsidR="00504BF9" w:rsidRPr="005069BB" w:rsidRDefault="00504BF9" w:rsidP="00D20FF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Dominantni</w:t>
            </w: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nastavni sustavi ovoga modula su heuristička i  dijelom predavačka nastava. </w:t>
            </w:r>
          </w:p>
          <w:p w14:paraId="727A53A7" w14:textId="77777777" w:rsidR="00504BF9" w:rsidRPr="005069BB" w:rsidRDefault="00504BF9" w:rsidP="00D20FFB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Tijekom realizacije nastavnih sadržaja nastavnik prvo predavačkom nastavom tumači tehnike digitalnog marketinga. Vođeni heurističkom nastavom polaznici će predložiti internetsku marketinšku kampanju u promociji. Kombinacijom predavačke i heurističke nastave polaznici povezuju brendiranje u </w:t>
            </w:r>
            <w:r w:rsidRPr="005069BB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 xml:space="preserve">online </w:t>
            </w:r>
            <w:r w:rsidRPr="005069BB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poslovanju s vrstama internetskih marketinških aktivnosti te na samom kraju koriste alate za provedbu, praćenje i analizu internetskih marketinških aktivnosti. </w:t>
            </w:r>
          </w:p>
          <w:p w14:paraId="59E82600" w14:textId="77777777" w:rsidR="00504BF9" w:rsidRPr="004E469C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4E469C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(koriste digitalne alate za provedbu, praćenje i analizu internetskih marketinških aktivnosti) polaznici primijenjuju ergonomska načela, prilagođavaju utjecaje iz radne okoline ergonomskim načelima te primjenjuju vježbe rasterećenja pri radu s računalom .</w:t>
            </w:r>
          </w:p>
          <w:p w14:paraId="3A06C36A" w14:textId="77777777" w:rsidR="00504BF9" w:rsidRPr="005069BB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lastRenderedPageBreak/>
              <w:t>Polaznici samostalno rješavaju problemske zadatake koristeći ste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>č</w:t>
            </w: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ena teorijska znanja o tehnikama digitalnog marketinga i  </w:t>
            </w:r>
            <w:r w:rsidRPr="005069BB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alatima za provedbu, praćenje i analizu internetskih marketinških aktivnosti s ciljem provedbe marketinške kampanje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,</w:t>
            </w:r>
            <w:r w:rsidRPr="005069BB"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  <w:t xml:space="preserve"> a nastavnik u slučaju potrebe pomaže i usmjerava polaznika ka mogućem rješenju. Nastavnik kontinuirano daje polazniku povratnu informaciju o uspješnosti  rješavanja  problema. Po završetku modula polaznik individualno rješava kompleksniji projektni zadatak koji objedinjuje aktivnosti svih ishoda učenja, a rezultat je predložena 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>digitalna marketinška kampanja u cilju povećanja vidljivosti poslovanja.</w:t>
            </w:r>
          </w:p>
          <w:p w14:paraId="30838530" w14:textId="77777777" w:rsidR="00504BF9" w:rsidRPr="005069BB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Polaznicima će, uz neposredno pohađanje teorijske nastave, u učionici biti omogućeno praćenje nastavnih sadržaja putem </w:t>
            </w:r>
            <w:r w:rsidRPr="00490AE2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online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(</w:t>
            </w:r>
            <w:r w:rsidRPr="005069BB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chat</w:t>
            </w:r>
            <w:r w:rsidRPr="005069BB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>)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504BF9" w:rsidRPr="00E57A41" w14:paraId="7221103D" w14:textId="77777777" w:rsidTr="00D20FFB">
        <w:tc>
          <w:tcPr>
            <w:tcW w:w="1838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356C56B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E06E04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Tehnike digitalnog marketinga</w:t>
            </w:r>
          </w:p>
          <w:p w14:paraId="36E9689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Upravljanje digitalnom marketinškom kampanjom</w:t>
            </w:r>
          </w:p>
          <w:p w14:paraId="335F5515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Alati za provedbu, praćenje i analizu internetskih marketinških aktivnosti</w:t>
            </w:r>
          </w:p>
          <w:p w14:paraId="6B4FDEB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  <w:t>Ergonomska načela u uredskom poslovanju</w:t>
            </w:r>
          </w:p>
        </w:tc>
      </w:tr>
      <w:tr w:rsidR="00504BF9" w:rsidRPr="00E57A41" w14:paraId="2D2A093A" w14:textId="77777777" w:rsidTr="00D20FFB">
        <w:trPr>
          <w:trHeight w:val="486"/>
        </w:trPr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978DFAE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Načini i primjer vrednovanja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 xml:space="preserve"> skupa ishoda učenja</w:t>
            </w:r>
          </w:p>
        </w:tc>
      </w:tr>
      <w:tr w:rsidR="00504BF9" w:rsidRPr="00E57A41" w14:paraId="55AD807F" w14:textId="77777777" w:rsidTr="00D20FFB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B0C904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 xml:space="preserve">Opis radne situacije i/ili projektnog zadatka: 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Polaznik u simuliranim uvjetima kreira internetsku marketinšku kampanju.      </w:t>
            </w:r>
          </w:p>
          <w:p w14:paraId="591C7B37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</w:pPr>
            <w:r w:rsidRPr="00E57A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>Zadatak: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Polaznik u simuliranim uvjetima proizvođača slastica izrađuje plan digitalnog marketinga u cilju uspješnog poslovanja. Za izrađeni plan provodi istraživanje (SWOT analiza, analiza </w:t>
            </w:r>
            <w:r w:rsidRPr="00490AE2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bs-Latn-BA" w:eastAsia="hr-HR"/>
              </w:rPr>
              <w:t>online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prisutnosti konkurencije) kako bi definirao detaljni opis profila 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kupca i njegovo 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kupovno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ponašanje. Polaznik određuje ciljeve i predlaže aktivnosti za izgradnju 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brenda u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online</w:t>
            </w:r>
            <w:r w:rsidRPr="00E1085E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okruženju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i kreira </w:t>
            </w:r>
            <w:r w:rsidRPr="00E1085E">
              <w:rPr>
                <w:rFonts w:ascii="Calibri" w:eastAsia="Calibri" w:hAnsi="Calibri" w:cs="Calibri"/>
                <w:i/>
                <w:iCs/>
                <w:sz w:val="20"/>
                <w:szCs w:val="20"/>
                <w:lang w:val="bs-Latn-BA" w:eastAsia="hr-HR"/>
              </w:rPr>
              <w:t>social media</w:t>
            </w:r>
            <w:r w:rsidRPr="00E57A41">
              <w:rPr>
                <w:rFonts w:ascii="Calibri" w:eastAsia="Calibri" w:hAnsi="Calibri" w:cs="Calibri"/>
                <w:sz w:val="20"/>
                <w:szCs w:val="20"/>
                <w:lang w:val="bs-Latn-BA" w:eastAsia="hr-HR"/>
              </w:rPr>
              <w:t xml:space="preserve"> marketing kampanju. Polaznik izračunava sve troškove kampanje za vrijeme njenog trajanja</w:t>
            </w:r>
            <w:r w:rsidRPr="00E57A41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i predlaže vrijeme trajanja s obzirom na planirani budžet. </w:t>
            </w:r>
          </w:p>
          <w:p w14:paraId="34AFC1E0" w14:textId="77777777" w:rsidR="00504BF9" w:rsidRPr="00E57A41" w:rsidRDefault="00504BF9" w:rsidP="00D20FFB">
            <w:pPr>
              <w:tabs>
                <w:tab w:val="left" w:pos="2820"/>
              </w:tabs>
              <w:spacing w:after="200"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bs-Latn-BA" w:eastAsia="bs-Latn-BA"/>
              </w:rPr>
            </w:pPr>
            <w:r w:rsidRPr="008049A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bs-Latn-BA" w:eastAsia="hr-HR"/>
              </w:rPr>
              <w:t>Vrednovanje:</w:t>
            </w:r>
            <w:r w:rsidRPr="008049A6">
              <w:rPr>
                <w:rFonts w:ascii="Calibri" w:eastAsia="Times New Roman" w:hAnsi="Calibri" w:cs="Calibri"/>
                <w:sz w:val="20"/>
                <w:szCs w:val="18"/>
                <w:lang w:val="bs-Latn-BA" w:eastAsia="hr-HR"/>
              </w:rPr>
              <w:t xml:space="preserve"> Provodi se pomoću unaprijed definiranih kriterija za elemente vrednovanja (plan digitalnog marketinga, profil ciljanog kupca, brendiranje, vrste marketinških kampanja, troškovi internetske marketinške kampanje).</w:t>
            </w:r>
          </w:p>
        </w:tc>
      </w:tr>
      <w:tr w:rsidR="00504BF9" w:rsidRPr="00E57A41" w14:paraId="0E598053" w14:textId="77777777" w:rsidTr="00D20FFB">
        <w:tc>
          <w:tcPr>
            <w:tcW w:w="9493" w:type="dxa"/>
            <w:gridSpan w:val="3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C2764F8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b/>
                <w:sz w:val="20"/>
                <w:szCs w:val="20"/>
                <w:lang w:val="bs-Latn-BA" w:eastAsia="bs-Latn-BA"/>
              </w:rPr>
              <w:t>Prilagodba iskustava učenja za polaznike/osobe s invaliditetom</w:t>
            </w:r>
          </w:p>
        </w:tc>
      </w:tr>
      <w:tr w:rsidR="00504BF9" w:rsidRPr="00E57A41" w14:paraId="66D55C57" w14:textId="77777777" w:rsidTr="00D20FFB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9C97F1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  <w:r w:rsidRPr="00E57A41">
              <w:rPr>
                <w:rFonts w:ascii="Calibri" w:eastAsia="Calibri" w:hAnsi="Calibri" w:cs="Calibri"/>
                <w:i/>
                <w:sz w:val="16"/>
                <w:szCs w:val="16"/>
                <w:lang w:val="bs-Latn-BA" w:eastAsia="bs-Latn-BA"/>
              </w:rPr>
              <w:t>(Izraditi način i primjer vrednovanja skupa ishoda učenja za polaznike/osobe s invaliditetom ako je primjenjivo)</w:t>
            </w:r>
          </w:p>
          <w:p w14:paraId="047DBD57" w14:textId="77777777" w:rsidR="00504BF9" w:rsidRPr="00E57A41" w:rsidRDefault="00504BF9" w:rsidP="00D20FFB">
            <w:pPr>
              <w:tabs>
                <w:tab w:val="left" w:pos="2820"/>
              </w:tabs>
              <w:spacing w:after="0" w:line="276" w:lineRule="auto"/>
              <w:rPr>
                <w:rFonts w:ascii="Calibri" w:eastAsia="Calibri" w:hAnsi="Calibri" w:cs="Calibri"/>
                <w:iCs/>
                <w:sz w:val="20"/>
                <w:szCs w:val="20"/>
                <w:lang w:val="bs-Latn-BA" w:eastAsia="bs-Latn-BA"/>
              </w:rPr>
            </w:pPr>
          </w:p>
        </w:tc>
      </w:tr>
    </w:tbl>
    <w:p w14:paraId="2244561E" w14:textId="77777777" w:rsidR="00504BF9" w:rsidRDefault="00504BF9" w:rsidP="00504BF9"/>
    <w:p w14:paraId="32A86E94" w14:textId="77777777" w:rsidR="00504BF9" w:rsidRDefault="00504BF9" w:rsidP="00504BF9"/>
    <w:p w14:paraId="02A6E7A8" w14:textId="77777777" w:rsidR="00504BF9" w:rsidRDefault="00504BF9" w:rsidP="00504BF9"/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04BF9" w:rsidRPr="00BD56ED" w14:paraId="5DFA9338" w14:textId="77777777" w:rsidTr="00D20FFB">
        <w:tc>
          <w:tcPr>
            <w:tcW w:w="9485" w:type="dxa"/>
            <w:shd w:val="clear" w:color="auto" w:fill="auto"/>
            <w:vAlign w:val="center"/>
          </w:tcPr>
          <w:p w14:paraId="5811BADF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56ED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B3AE89D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D56ED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0EEB06B" w14:textId="77777777" w:rsidR="00504BF9" w:rsidRPr="00BD56ED" w:rsidRDefault="00504BF9" w:rsidP="00504BF9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BD56ED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04BF9" w:rsidRPr="00BD56ED" w14:paraId="44572BEF" w14:textId="77777777" w:rsidTr="00D20FFB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FF2FA5A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77AFD5F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BD56ED" w14:paraId="5977C4C9" w14:textId="77777777" w:rsidTr="00D20FFB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5F3D4491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C7C5939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04BF9" w:rsidRPr="00BD56ED" w14:paraId="0B9439C1" w14:textId="77777777" w:rsidTr="00D20FFB">
        <w:tc>
          <w:tcPr>
            <w:tcW w:w="4630" w:type="dxa"/>
            <w:hideMark/>
          </w:tcPr>
          <w:p w14:paraId="62C52E21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D56ED">
              <w:rPr>
                <w:rFonts w:cstheme="minorHAnsi"/>
                <w:iCs/>
                <w:sz w:val="20"/>
                <w:szCs w:val="20"/>
              </w:rPr>
              <w:lastRenderedPageBreak/>
              <w:t>Datum izdavanja mišljenja na program:</w:t>
            </w:r>
          </w:p>
        </w:tc>
        <w:tc>
          <w:tcPr>
            <w:tcW w:w="4886" w:type="dxa"/>
          </w:tcPr>
          <w:p w14:paraId="4187A365" w14:textId="77777777" w:rsidR="00504BF9" w:rsidRPr="00BD56ED" w:rsidRDefault="00504BF9" w:rsidP="00D20FF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0784F58" w14:textId="214D2270" w:rsidR="00504BF9" w:rsidRDefault="00504BF9" w:rsidP="00504BF9">
      <w:pPr>
        <w:rPr>
          <w:color w:val="FF0000"/>
        </w:rPr>
      </w:pPr>
    </w:p>
    <w:p w14:paraId="272EEF0B" w14:textId="3321794E" w:rsidR="00627FDD" w:rsidRPr="00627FDD" w:rsidRDefault="00627FDD" w:rsidP="00504BF9">
      <w:r w:rsidRPr="00627FDD">
        <w:t>Značenje boja</w:t>
      </w:r>
      <w:r>
        <w:t>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53E47" w14:paraId="077A1C8E" w14:textId="77777777" w:rsidTr="00627FDD">
        <w:tc>
          <w:tcPr>
            <w:tcW w:w="9062" w:type="dxa"/>
            <w:tcBorders>
              <w:bottom w:val="single" w:sz="4" w:space="0" w:color="auto"/>
            </w:tcBorders>
            <w:shd w:val="clear" w:color="auto" w:fill="FFC000"/>
          </w:tcPr>
          <w:p w14:paraId="3F1799F5" w14:textId="49B11E70" w:rsidR="00753E47" w:rsidRPr="00627FDD" w:rsidRDefault="00627FDD">
            <w:pPr>
              <w:rPr>
                <w:b/>
                <w:bCs/>
              </w:rPr>
            </w:pPr>
            <w:r w:rsidRPr="00627FDD">
              <w:rPr>
                <w:b/>
                <w:bCs/>
              </w:rPr>
              <w:t>Standard zanimanja</w:t>
            </w:r>
          </w:p>
        </w:tc>
      </w:tr>
      <w:tr w:rsidR="00753E47" w14:paraId="6CB97106" w14:textId="77777777" w:rsidTr="00627FDD">
        <w:tc>
          <w:tcPr>
            <w:tcW w:w="9062" w:type="dxa"/>
            <w:tcBorders>
              <w:bottom w:val="single" w:sz="4" w:space="0" w:color="auto"/>
            </w:tcBorders>
            <w:shd w:val="clear" w:color="auto" w:fill="92D050"/>
          </w:tcPr>
          <w:p w14:paraId="72A6312D" w14:textId="04C493A8" w:rsidR="00753E47" w:rsidRPr="00627FDD" w:rsidRDefault="00627FDD">
            <w:pPr>
              <w:rPr>
                <w:b/>
                <w:bCs/>
              </w:rPr>
            </w:pPr>
            <w:r w:rsidRPr="00627FDD">
              <w:rPr>
                <w:b/>
                <w:bCs/>
              </w:rPr>
              <w:t>Standard kvalifikacije</w:t>
            </w:r>
          </w:p>
        </w:tc>
      </w:tr>
      <w:tr w:rsidR="00753E47" w14:paraId="1161AA3C" w14:textId="77777777" w:rsidTr="00627FDD">
        <w:tc>
          <w:tcPr>
            <w:tcW w:w="9062" w:type="dxa"/>
            <w:shd w:val="clear" w:color="auto" w:fill="FFFF00"/>
          </w:tcPr>
          <w:p w14:paraId="2131DFC1" w14:textId="29BB4707" w:rsidR="00753E47" w:rsidRPr="00627FDD" w:rsidRDefault="00627FDD">
            <w:pPr>
              <w:rPr>
                <w:b/>
                <w:bCs/>
              </w:rPr>
            </w:pPr>
            <w:r w:rsidRPr="00627FDD">
              <w:rPr>
                <w:b/>
                <w:bCs/>
              </w:rPr>
              <w:t>Sastavnice MK koje ustanove izrađuju samostalno</w:t>
            </w:r>
          </w:p>
        </w:tc>
      </w:tr>
    </w:tbl>
    <w:p w14:paraId="7BD885F3" w14:textId="77777777" w:rsidR="007F35F6" w:rsidRDefault="007F35F6"/>
    <w:sectPr w:rsidR="007F35F6" w:rsidSect="00B279B4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8F3E" w14:textId="77777777" w:rsidR="00D14ED5" w:rsidRDefault="00D14ED5" w:rsidP="00504BF9">
      <w:pPr>
        <w:spacing w:after="0" w:line="240" w:lineRule="auto"/>
      </w:pPr>
      <w:r>
        <w:separator/>
      </w:r>
    </w:p>
  </w:endnote>
  <w:endnote w:type="continuationSeparator" w:id="0">
    <w:p w14:paraId="0B98FB3D" w14:textId="77777777" w:rsidR="00D14ED5" w:rsidRDefault="00D14ED5" w:rsidP="0050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782933"/>
      <w:docPartObj>
        <w:docPartGallery w:val="Page Numbers (Bottom of Page)"/>
        <w:docPartUnique/>
      </w:docPartObj>
    </w:sdtPr>
    <w:sdtEndPr/>
    <w:sdtContent>
      <w:p w14:paraId="26DDB660" w14:textId="0732E324" w:rsidR="00567B8E" w:rsidRDefault="00504B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80" w:rsidRPr="00E61480">
          <w:rPr>
            <w:noProof/>
            <w:lang w:val="hr-HR"/>
          </w:rPr>
          <w:t>12</w:t>
        </w:r>
        <w:r>
          <w:fldChar w:fldCharType="end"/>
        </w:r>
      </w:p>
    </w:sdtContent>
  </w:sdt>
  <w:p w14:paraId="22AA39BF" w14:textId="77777777" w:rsidR="00567B8E" w:rsidRDefault="00D14E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D71E" w14:textId="77777777" w:rsidR="00D14ED5" w:rsidRDefault="00D14ED5" w:rsidP="00504BF9">
      <w:pPr>
        <w:spacing w:after="0" w:line="240" w:lineRule="auto"/>
      </w:pPr>
      <w:r>
        <w:separator/>
      </w:r>
    </w:p>
  </w:footnote>
  <w:footnote w:type="continuationSeparator" w:id="0">
    <w:p w14:paraId="18C4E919" w14:textId="77777777" w:rsidR="00D14ED5" w:rsidRDefault="00D14ED5" w:rsidP="00504BF9">
      <w:pPr>
        <w:spacing w:after="0" w:line="240" w:lineRule="auto"/>
      </w:pPr>
      <w:r>
        <w:continuationSeparator/>
      </w:r>
    </w:p>
  </w:footnote>
  <w:footnote w:id="1">
    <w:p w14:paraId="3288BF95" w14:textId="77777777" w:rsidR="00504BF9" w:rsidRPr="00B761B7" w:rsidRDefault="00504BF9" w:rsidP="00504BF9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Referencafusnot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432A7E16" w14:textId="77777777" w:rsidR="00504BF9" w:rsidRDefault="00504BF9" w:rsidP="00504BF9">
      <w:pPr>
        <w:pStyle w:val="FootnoteText1"/>
      </w:pPr>
    </w:p>
  </w:footnote>
  <w:footnote w:id="2">
    <w:p w14:paraId="5033EC5B" w14:textId="77777777" w:rsidR="00504BF9" w:rsidRPr="00131F4D" w:rsidRDefault="00504BF9" w:rsidP="00504BF9">
      <w:pPr>
        <w:rPr>
          <w:rFonts w:cstheme="minorHAnsi"/>
          <w:i/>
          <w:iCs/>
          <w:sz w:val="20"/>
          <w:szCs w:val="20"/>
        </w:rPr>
      </w:pPr>
      <w:r w:rsidRPr="00131F4D">
        <w:rPr>
          <w:rStyle w:val="Referencafusnote"/>
          <w:rFonts w:cstheme="minorHAnsi"/>
        </w:rPr>
        <w:footnoteRef/>
      </w:r>
      <w:r w:rsidRPr="00131F4D">
        <w:rPr>
          <w:rFonts w:cstheme="minorHAnsi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72FF3B25" w14:textId="77777777" w:rsidR="00504BF9" w:rsidRDefault="00504BF9" w:rsidP="00504BF9">
      <w:pPr>
        <w:pStyle w:val="FootnoteText1"/>
      </w:pPr>
    </w:p>
  </w:footnote>
  <w:footnote w:id="3">
    <w:p w14:paraId="448CDD59" w14:textId="77777777" w:rsidR="00504BF9" w:rsidRPr="00131F4D" w:rsidRDefault="00504BF9" w:rsidP="00504BF9">
      <w:pPr>
        <w:rPr>
          <w:rFonts w:cstheme="minorHAnsi"/>
          <w:i/>
          <w:iCs/>
          <w:sz w:val="20"/>
          <w:szCs w:val="20"/>
        </w:rPr>
      </w:pPr>
      <w:r w:rsidRPr="00131F4D">
        <w:rPr>
          <w:rStyle w:val="Referencafusnote"/>
          <w:rFonts w:cstheme="minorHAnsi"/>
        </w:rPr>
        <w:footnoteRef/>
      </w:r>
      <w:r w:rsidRPr="00131F4D">
        <w:rPr>
          <w:rFonts w:cstheme="minorHAnsi"/>
        </w:rPr>
        <w:t xml:space="preserve"> </w:t>
      </w:r>
      <w:r w:rsidRPr="00131F4D">
        <w:rPr>
          <w:rFonts w:cstheme="minorHAnsi"/>
          <w:sz w:val="20"/>
          <w:szCs w:val="20"/>
        </w:rPr>
        <w:t>Popunjava se onoliko puta koliko je skupova ishoda učenja u modulu</w:t>
      </w:r>
      <w:r w:rsidRPr="00131F4D">
        <w:rPr>
          <w:rFonts w:cstheme="minorHAnsi"/>
          <w:i/>
          <w:iCs/>
          <w:sz w:val="20"/>
          <w:szCs w:val="20"/>
        </w:rPr>
        <w:t>.</w:t>
      </w:r>
    </w:p>
    <w:p w14:paraId="6B14702D" w14:textId="77777777" w:rsidR="00504BF9" w:rsidRDefault="00504BF9" w:rsidP="00504BF9">
      <w:pPr>
        <w:pStyle w:val="FootnoteText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E10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30E"/>
    <w:multiLevelType w:val="hybridMultilevel"/>
    <w:tmpl w:val="113211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3228FB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A12BBA"/>
    <w:multiLevelType w:val="hybridMultilevel"/>
    <w:tmpl w:val="61E62316"/>
    <w:lvl w:ilvl="0" w:tplc="67B27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72345"/>
    <w:multiLevelType w:val="hybridMultilevel"/>
    <w:tmpl w:val="B75E2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2C16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368B"/>
    <w:multiLevelType w:val="hybridMultilevel"/>
    <w:tmpl w:val="45DEED68"/>
    <w:lvl w:ilvl="0" w:tplc="39249E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1307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51035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F9"/>
    <w:rsid w:val="001C5E14"/>
    <w:rsid w:val="00240912"/>
    <w:rsid w:val="002F45BA"/>
    <w:rsid w:val="00320465"/>
    <w:rsid w:val="00320525"/>
    <w:rsid w:val="003A5056"/>
    <w:rsid w:val="003E5B1F"/>
    <w:rsid w:val="00504BF9"/>
    <w:rsid w:val="00627FDD"/>
    <w:rsid w:val="00645B42"/>
    <w:rsid w:val="006A2A55"/>
    <w:rsid w:val="00753E47"/>
    <w:rsid w:val="00771E45"/>
    <w:rsid w:val="007C1ABB"/>
    <w:rsid w:val="007E4911"/>
    <w:rsid w:val="007F35F6"/>
    <w:rsid w:val="00815A17"/>
    <w:rsid w:val="008F2DE1"/>
    <w:rsid w:val="00900142"/>
    <w:rsid w:val="00932CEB"/>
    <w:rsid w:val="00B279B4"/>
    <w:rsid w:val="00BD048B"/>
    <w:rsid w:val="00BE4E54"/>
    <w:rsid w:val="00C31BCC"/>
    <w:rsid w:val="00C4104F"/>
    <w:rsid w:val="00D14ED5"/>
    <w:rsid w:val="00E61480"/>
    <w:rsid w:val="00E94E49"/>
    <w:rsid w:val="00EE5A83"/>
    <w:rsid w:val="00F979A5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918"/>
  <w15:chartTrackingRefBased/>
  <w15:docId w15:val="{BE27FEE2-7420-4C42-AA1C-A72AA78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ZaglavljeChar">
    <w:name w:val="Zaglavlje Char"/>
    <w:basedOn w:val="Zadanifontodlomka"/>
    <w:link w:val="Zaglavlje"/>
    <w:uiPriority w:val="99"/>
    <w:rsid w:val="00504BF9"/>
    <w:rPr>
      <w:rFonts w:ascii="Calibri" w:eastAsia="Calibri" w:hAnsi="Calibri" w:cs="Calibri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504B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PodnojeChar">
    <w:name w:val="Podnožje Char"/>
    <w:basedOn w:val="Zadanifontodlomka"/>
    <w:link w:val="Podnoje"/>
    <w:uiPriority w:val="99"/>
    <w:rsid w:val="00504BF9"/>
    <w:rPr>
      <w:rFonts w:ascii="Calibri" w:eastAsia="Calibri" w:hAnsi="Calibri" w:cs="Calibri"/>
      <w:lang w:val="bs-Latn-BA" w:eastAsia="bs-Latn-BA"/>
    </w:rPr>
  </w:style>
  <w:style w:type="table" w:styleId="Reetkatablice">
    <w:name w:val="Table Grid"/>
    <w:basedOn w:val="Obinatablica"/>
    <w:uiPriority w:val="39"/>
    <w:rsid w:val="00504BF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basedOn w:val="Zadanifontodlomka"/>
    <w:uiPriority w:val="99"/>
    <w:semiHidden/>
    <w:unhideWhenUsed/>
    <w:rsid w:val="00504BF9"/>
    <w:rPr>
      <w:vertAlign w:val="superscript"/>
    </w:rPr>
  </w:style>
  <w:style w:type="paragraph" w:customStyle="1" w:styleId="FootnoteText1">
    <w:name w:val="Footnote Text1"/>
    <w:basedOn w:val="Normal"/>
    <w:next w:val="Tekstfusnote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504BF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04BF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04BF9"/>
    <w:rPr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BE4E5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4E5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20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17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a/users/?hl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cademy.hub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Dragica Kovčalija</cp:lastModifiedBy>
  <cp:revision>23</cp:revision>
  <dcterms:created xsi:type="dcterms:W3CDTF">2022-02-24T13:07:00Z</dcterms:created>
  <dcterms:modified xsi:type="dcterms:W3CDTF">2022-04-01T12:19:00Z</dcterms:modified>
</cp:coreProperties>
</file>